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C9355" w14:textId="6773AEAB" w:rsidR="00FE4B6D" w:rsidRDefault="00FE4B6D" w:rsidP="00FE4B6D">
      <w:pPr>
        <w:spacing w:line="360" w:lineRule="auto"/>
        <w:rPr>
          <w:rFonts w:ascii="Arial" w:eastAsia="Arial" w:hAnsi="Arial" w:cs="Arial"/>
          <w:sz w:val="22"/>
          <w:szCs w:val="22"/>
        </w:rPr>
      </w:pPr>
      <w:r>
        <w:rPr>
          <w:rFonts w:ascii="Arial" w:eastAsia="Arial" w:hAnsi="Arial" w:cs="Arial"/>
          <w:noProof/>
          <w:sz w:val="22"/>
          <w:szCs w:val="22"/>
        </w:rPr>
        <w:drawing>
          <wp:anchor distT="0" distB="0" distL="114300" distR="114300" simplePos="0" relativeHeight="251658240" behindDoc="1" locked="0" layoutInCell="1" allowOverlap="1" wp14:anchorId="51FD2909" wp14:editId="4B5E5FE4">
            <wp:simplePos x="0" y="0"/>
            <wp:positionH relativeFrom="column">
              <wp:posOffset>-165100</wp:posOffset>
            </wp:positionH>
            <wp:positionV relativeFrom="paragraph">
              <wp:posOffset>82550</wp:posOffset>
            </wp:positionV>
            <wp:extent cx="1374110" cy="1156542"/>
            <wp:effectExtent l="0" t="0" r="0" b="5715"/>
            <wp:wrapTight wrapText="bothSides">
              <wp:wrapPolygon edited="0">
                <wp:start x="0" y="0"/>
                <wp:lineTo x="0" y="21351"/>
                <wp:lineTo x="21270" y="21351"/>
                <wp:lineTo x="21270" y="0"/>
                <wp:lineTo x="0" y="0"/>
              </wp:wrapPolygon>
            </wp:wrapTight>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374110" cy="1156542"/>
                    </a:xfrm>
                    <a:prstGeom prst="rect">
                      <a:avLst/>
                    </a:prstGeom>
                    <a:ln/>
                  </pic:spPr>
                </pic:pic>
              </a:graphicData>
            </a:graphic>
          </wp:anchor>
        </w:drawing>
      </w:r>
    </w:p>
    <w:p w14:paraId="1AED1BEB" w14:textId="5C00B5A7" w:rsidR="00FE4B6D" w:rsidRDefault="005F0DE1" w:rsidP="00FE4B6D">
      <w:pPr>
        <w:rPr>
          <w:rFonts w:ascii="Arial" w:eastAsia="Arial" w:hAnsi="Arial" w:cs="Arial"/>
          <w:sz w:val="22"/>
          <w:szCs w:val="22"/>
        </w:rPr>
      </w:pPr>
      <w:r>
        <w:rPr>
          <w:noProof/>
        </w:rPr>
        <mc:AlternateContent>
          <mc:Choice Requires="wps">
            <w:drawing>
              <wp:anchor distT="0" distB="0" distL="114300" distR="114300" simplePos="0" relativeHeight="251658241" behindDoc="0" locked="0" layoutInCell="1" hidden="0" allowOverlap="1" wp14:anchorId="4BACA43F" wp14:editId="57888D36">
                <wp:simplePos x="0" y="0"/>
                <wp:positionH relativeFrom="margin">
                  <wp:align>right</wp:align>
                </wp:positionH>
                <wp:positionV relativeFrom="paragraph">
                  <wp:posOffset>273050</wp:posOffset>
                </wp:positionV>
                <wp:extent cx="2524125" cy="352425"/>
                <wp:effectExtent l="0" t="0" r="9525" b="9525"/>
                <wp:wrapNone/>
                <wp:docPr id="1" name="Rectangle 1"/>
                <wp:cNvGraphicFramePr/>
                <a:graphic xmlns:a="http://schemas.openxmlformats.org/drawingml/2006/main">
                  <a:graphicData uri="http://schemas.microsoft.com/office/word/2010/wordprocessingShape">
                    <wps:wsp>
                      <wps:cNvSpPr/>
                      <wps:spPr>
                        <a:xfrm>
                          <a:off x="0" y="0"/>
                          <a:ext cx="2524125" cy="352425"/>
                        </a:xfrm>
                        <a:prstGeom prst="rect">
                          <a:avLst/>
                        </a:prstGeom>
                        <a:solidFill>
                          <a:srgbClr val="FFFFFF"/>
                        </a:solidFill>
                        <a:ln>
                          <a:noFill/>
                        </a:ln>
                      </wps:spPr>
                      <wps:txbx>
                        <w:txbxContent>
                          <w:p w14:paraId="0F4DC95D" w14:textId="77777777" w:rsidR="005F0DE1" w:rsidRDefault="005F0DE1" w:rsidP="005F0DE1">
                            <w:pPr>
                              <w:spacing w:line="360" w:lineRule="auto"/>
                              <w:jc w:val="right"/>
                              <w:textDirection w:val="btLr"/>
                            </w:pPr>
                            <w:r>
                              <w:rPr>
                                <w:rFonts w:ascii="Arial" w:eastAsia="Arial" w:hAnsi="Arial" w:cs="Arial"/>
                                <w:b/>
                                <w:color w:val="000000"/>
                              </w:rPr>
                              <w:t>Press Release</w:t>
                            </w:r>
                          </w:p>
                          <w:p w14:paraId="3632B6CC" w14:textId="77777777" w:rsidR="005F0DE1" w:rsidRDefault="005F0DE1" w:rsidP="005F0DE1">
                            <w:pPr>
                              <w:textDirection w:val="btLr"/>
                            </w:pPr>
                          </w:p>
                        </w:txbxContent>
                      </wps:txbx>
                      <wps:bodyPr spcFirstLastPara="1" wrap="square" lIns="91425" tIns="45700" rIns="91425" bIns="45700" anchor="t" anchorCtr="0">
                        <a:noAutofit/>
                      </wps:bodyPr>
                    </wps:wsp>
                  </a:graphicData>
                </a:graphic>
              </wp:anchor>
            </w:drawing>
          </mc:Choice>
          <mc:Fallback>
            <w:pict>
              <v:rect w14:anchorId="4BACA43F" id="Rectangle 1" o:spid="_x0000_s1026" style="position:absolute;margin-left:147.55pt;margin-top:21.5pt;width:198.75pt;height:27.75pt;z-index:251658241;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" stroked="f">
                <v:textbox inset="2.53958mm,1.2694mm,2.53958mm,1.2694mm">
                  <w:txbxContent>
                    <w:p w14:paraId="0F4DC95D" w14:textId="77777777" w:rsidR="005F0DE1" w:rsidRDefault="005F0DE1" w:rsidP="005F0DE1">
                      <w:pPr>
                        <w:spacing w:line="360" w:lineRule="auto"/>
                        <w:jc w:val="right"/>
                        <w:textDirection w:val="btLr"/>
                      </w:pPr>
                      <w:r>
                        <w:rPr>
                          <w:rFonts w:ascii="Arial" w:eastAsia="Arial" w:hAnsi="Arial" w:cs="Arial"/>
                          <w:b/>
                          <w:color w:val="000000"/>
                        </w:rPr>
                        <w:t>Press Release</w:t>
                      </w:r>
                    </w:p>
                    <w:p w14:paraId="3632B6CC" w14:textId="77777777" w:rsidR="005F0DE1" w:rsidRDefault="005F0DE1" w:rsidP="005F0DE1">
                      <w:pPr>
                        <w:textDirection w:val="btLr"/>
                      </w:pPr>
                    </w:p>
                  </w:txbxContent>
                </v:textbox>
                <w10:wrap anchorx="margin"/>
              </v:rect>
            </w:pict>
          </mc:Fallback>
        </mc:AlternateContent>
      </w:r>
    </w:p>
    <w:p w14:paraId="7D49E3CC" w14:textId="77777777" w:rsidR="00CD0BB8" w:rsidRDefault="00CD0BB8" w:rsidP="00732599">
      <w:pPr>
        <w:spacing w:after="0" w:line="240" w:lineRule="auto"/>
        <w:rPr>
          <w:rFonts w:ascii="Arial" w:eastAsia="Arial" w:hAnsi="Arial" w:cs="Arial"/>
          <w:i/>
          <w:sz w:val="22"/>
          <w:szCs w:val="22"/>
        </w:rPr>
      </w:pPr>
    </w:p>
    <w:p w14:paraId="36F7390E" w14:textId="77777777" w:rsidR="00CD0BB8" w:rsidRDefault="00CD0BB8" w:rsidP="00732599">
      <w:pPr>
        <w:spacing w:after="0" w:line="240" w:lineRule="auto"/>
        <w:rPr>
          <w:rFonts w:ascii="Arial" w:eastAsia="Arial" w:hAnsi="Arial" w:cs="Arial"/>
          <w:i/>
          <w:sz w:val="22"/>
          <w:szCs w:val="22"/>
        </w:rPr>
      </w:pPr>
    </w:p>
    <w:p w14:paraId="5C5919A8" w14:textId="77777777" w:rsidR="00CD0BB8" w:rsidRDefault="00CD0BB8" w:rsidP="00732599">
      <w:pPr>
        <w:spacing w:after="0" w:line="240" w:lineRule="auto"/>
        <w:rPr>
          <w:rFonts w:ascii="Arial" w:eastAsia="Arial" w:hAnsi="Arial" w:cs="Arial"/>
          <w:i/>
          <w:sz w:val="22"/>
          <w:szCs w:val="22"/>
        </w:rPr>
      </w:pPr>
    </w:p>
    <w:p w14:paraId="0DC1E662" w14:textId="77777777" w:rsidR="00CD0BB8" w:rsidRDefault="00CD0BB8" w:rsidP="00732599">
      <w:pPr>
        <w:spacing w:after="0" w:line="240" w:lineRule="auto"/>
        <w:rPr>
          <w:rFonts w:ascii="Arial" w:eastAsia="Arial" w:hAnsi="Arial" w:cs="Arial"/>
          <w:i/>
          <w:sz w:val="22"/>
          <w:szCs w:val="22"/>
        </w:rPr>
      </w:pPr>
    </w:p>
    <w:p w14:paraId="161BD746" w14:textId="77777777" w:rsidR="00CD0BB8" w:rsidRDefault="00CD0BB8" w:rsidP="00732599">
      <w:pPr>
        <w:spacing w:after="0" w:line="240" w:lineRule="auto"/>
        <w:rPr>
          <w:rFonts w:ascii="Arial" w:eastAsia="Arial" w:hAnsi="Arial" w:cs="Arial"/>
          <w:i/>
          <w:sz w:val="22"/>
          <w:szCs w:val="22"/>
        </w:rPr>
      </w:pPr>
    </w:p>
    <w:p w14:paraId="1554B966" w14:textId="62B0077B" w:rsidR="00FE4B6D" w:rsidRDefault="00FE4B6D" w:rsidP="00732599">
      <w:pPr>
        <w:spacing w:after="0" w:line="240" w:lineRule="auto"/>
        <w:rPr>
          <w:rFonts w:ascii="Arial" w:eastAsia="Arial" w:hAnsi="Arial" w:cs="Arial"/>
          <w:sz w:val="22"/>
          <w:szCs w:val="22"/>
        </w:rPr>
      </w:pPr>
      <w:r>
        <w:rPr>
          <w:rFonts w:ascii="Arial" w:eastAsia="Arial" w:hAnsi="Arial" w:cs="Arial"/>
          <w:i/>
          <w:sz w:val="22"/>
          <w:szCs w:val="22"/>
        </w:rPr>
        <w:t>Media Relations</w:t>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Pr>
          <w:rFonts w:ascii="Arial" w:eastAsia="Arial" w:hAnsi="Arial" w:cs="Arial"/>
          <w:i/>
          <w:sz w:val="22"/>
          <w:szCs w:val="22"/>
        </w:rPr>
        <w:tab/>
      </w:r>
      <w:r w:rsidR="00732599">
        <w:rPr>
          <w:rFonts w:ascii="Arial" w:eastAsia="Arial" w:hAnsi="Arial" w:cs="Arial"/>
          <w:i/>
          <w:sz w:val="22"/>
          <w:szCs w:val="22"/>
        </w:rPr>
        <w:t xml:space="preserve">         </w:t>
      </w:r>
      <w:r>
        <w:rPr>
          <w:rFonts w:ascii="Arial" w:eastAsia="Arial" w:hAnsi="Arial" w:cs="Arial"/>
          <w:i/>
          <w:sz w:val="22"/>
          <w:szCs w:val="22"/>
        </w:rPr>
        <w:t>Investor Relations</w:t>
      </w:r>
    </w:p>
    <w:p w14:paraId="6E594C47" w14:textId="2B7D4C6B" w:rsidR="00FE4B6D" w:rsidRDefault="00FE4B6D" w:rsidP="00732599">
      <w:pPr>
        <w:spacing w:after="0" w:line="240" w:lineRule="auto"/>
        <w:rPr>
          <w:rFonts w:ascii="Arial" w:eastAsia="Arial" w:hAnsi="Arial" w:cs="Arial"/>
          <w:sz w:val="22"/>
          <w:szCs w:val="22"/>
        </w:rPr>
      </w:pPr>
      <w:r>
        <w:rPr>
          <w:rFonts w:ascii="Arial" w:eastAsia="Arial" w:hAnsi="Arial" w:cs="Arial"/>
          <w:sz w:val="22"/>
          <w:szCs w:val="22"/>
        </w:rPr>
        <w:t>Tiffini Bloniarz</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732599">
        <w:rPr>
          <w:rFonts w:ascii="Arial" w:eastAsia="Arial" w:hAnsi="Arial" w:cs="Arial"/>
          <w:sz w:val="22"/>
          <w:szCs w:val="22"/>
        </w:rPr>
        <w:t xml:space="preserve">         </w:t>
      </w:r>
      <w:r>
        <w:rPr>
          <w:rFonts w:ascii="Arial" w:eastAsia="Arial" w:hAnsi="Arial" w:cs="Arial"/>
          <w:sz w:val="22"/>
          <w:szCs w:val="22"/>
        </w:rPr>
        <w:t>Maynard Um</w:t>
      </w:r>
    </w:p>
    <w:p w14:paraId="3D5ACEE7" w14:textId="7C30582A" w:rsidR="00123D79" w:rsidRDefault="00FE4B6D" w:rsidP="00732599">
      <w:pPr>
        <w:spacing w:after="0" w:line="240" w:lineRule="auto"/>
        <w:rPr>
          <w:rFonts w:ascii="Arial" w:eastAsia="Arial" w:hAnsi="Arial" w:cs="Arial"/>
          <w:sz w:val="22"/>
          <w:szCs w:val="22"/>
        </w:rPr>
      </w:pPr>
      <w:r>
        <w:rPr>
          <w:rFonts w:ascii="Arial" w:eastAsia="Arial" w:hAnsi="Arial" w:cs="Arial"/>
          <w:sz w:val="22"/>
          <w:szCs w:val="22"/>
        </w:rPr>
        <w:t>+1 330 490 4499</w:t>
      </w:r>
      <w:r>
        <w:rPr>
          <w:rFonts w:ascii="Arial" w:eastAsia="Arial" w:hAnsi="Arial" w:cs="Arial"/>
          <w:sz w:val="22"/>
          <w:szCs w:val="22"/>
        </w:rPr>
        <w:tab/>
      </w:r>
      <w:r w:rsidR="00123D79">
        <w:rPr>
          <w:rFonts w:ascii="Arial" w:eastAsia="Arial" w:hAnsi="Arial" w:cs="Arial"/>
          <w:sz w:val="22"/>
          <w:szCs w:val="22"/>
        </w:rPr>
        <w:t xml:space="preserve">                                                        </w:t>
      </w:r>
      <w:hyperlink r:id="rId8" w:history="1">
        <w:r w:rsidR="00123D79" w:rsidRPr="00D43383">
          <w:rPr>
            <w:rStyle w:val="Hyperlink"/>
            <w:rFonts w:ascii="Arial" w:eastAsia="Arial" w:hAnsi="Arial" w:cs="Arial"/>
            <w:sz w:val="22"/>
            <w:szCs w:val="22"/>
          </w:rPr>
          <w:t>InvestorRelations@dieboldnixdorf.com</w:t>
        </w:r>
      </w:hyperlink>
      <w:r w:rsidR="00123D79">
        <w:rPr>
          <w:rFonts w:ascii="Arial" w:eastAsia="Arial" w:hAnsi="Arial" w:cs="Arial"/>
          <w:sz w:val="22"/>
          <w:szCs w:val="22"/>
        </w:rPr>
        <w:t xml:space="preserve"> </w:t>
      </w:r>
    </w:p>
    <w:p w14:paraId="381783B3" w14:textId="7A23F2B9" w:rsidR="00FE4B6D" w:rsidRDefault="00123D79" w:rsidP="00732599">
      <w:pPr>
        <w:spacing w:after="0" w:line="240" w:lineRule="auto"/>
        <w:rPr>
          <w:rFonts w:ascii="Arial" w:eastAsia="Arial" w:hAnsi="Arial" w:cs="Arial"/>
          <w:sz w:val="22"/>
          <w:szCs w:val="22"/>
        </w:rPr>
      </w:pPr>
      <w:hyperlink r:id="rId9" w:history="1">
        <w:r w:rsidRPr="00D43383">
          <w:rPr>
            <w:rStyle w:val="Hyperlink"/>
            <w:rFonts w:ascii="Arial" w:eastAsia="Arial" w:hAnsi="Arial" w:cs="Arial"/>
            <w:sz w:val="22"/>
            <w:szCs w:val="22"/>
          </w:rPr>
          <w:t>tiffini.bloniarz@dieboldnixdorf.com</w:t>
        </w:r>
      </w:hyperlink>
      <w:r w:rsidR="00FE4B6D">
        <w:rPr>
          <w:rFonts w:ascii="Arial" w:eastAsia="Arial" w:hAnsi="Arial" w:cs="Arial"/>
          <w:sz w:val="22"/>
          <w:szCs w:val="22"/>
        </w:rPr>
        <w:t xml:space="preserve"> </w:t>
      </w:r>
      <w:r w:rsidR="00FE4B6D">
        <w:rPr>
          <w:rFonts w:ascii="Arial" w:eastAsia="Arial" w:hAnsi="Arial" w:cs="Arial"/>
          <w:sz w:val="22"/>
          <w:szCs w:val="22"/>
        </w:rPr>
        <w:tab/>
      </w:r>
      <w:r w:rsidR="00FE4B6D">
        <w:rPr>
          <w:rFonts w:ascii="Arial" w:eastAsia="Arial" w:hAnsi="Arial" w:cs="Arial"/>
          <w:sz w:val="22"/>
          <w:szCs w:val="22"/>
        </w:rPr>
        <w:tab/>
      </w:r>
      <w:r>
        <w:rPr>
          <w:rFonts w:ascii="Arial" w:eastAsia="Arial" w:hAnsi="Arial" w:cs="Arial"/>
          <w:sz w:val="22"/>
          <w:szCs w:val="22"/>
        </w:rPr>
        <w:tab/>
      </w:r>
      <w:r w:rsidR="00FE4B6D">
        <w:rPr>
          <w:rFonts w:ascii="Arial" w:eastAsia="Arial" w:hAnsi="Arial" w:cs="Arial"/>
          <w:sz w:val="22"/>
          <w:szCs w:val="22"/>
        </w:rPr>
        <w:tab/>
        <w:t xml:space="preserve">            </w:t>
      </w:r>
      <w:r w:rsidR="00FE4B6D">
        <w:t xml:space="preserve"> </w:t>
      </w:r>
    </w:p>
    <w:p w14:paraId="79242B96" w14:textId="77777777" w:rsidR="00FE4B6D" w:rsidRDefault="00FE4B6D" w:rsidP="00FE4B6D">
      <w:pPr>
        <w:rPr>
          <w:rFonts w:ascii="Arial" w:eastAsia="Arial" w:hAnsi="Arial" w:cs="Arial"/>
          <w:sz w:val="22"/>
          <w:szCs w:val="22"/>
        </w:rPr>
      </w:pPr>
    </w:p>
    <w:p w14:paraId="20ECB7C1" w14:textId="77777777" w:rsidR="00FE4B6D" w:rsidRPr="00123D79" w:rsidRDefault="00FE4B6D" w:rsidP="00732599">
      <w:pPr>
        <w:spacing w:after="0" w:line="240" w:lineRule="auto"/>
        <w:rPr>
          <w:rFonts w:ascii="Arial" w:eastAsia="Arial" w:hAnsi="Arial" w:cs="Arial"/>
          <w:sz w:val="22"/>
          <w:szCs w:val="22"/>
        </w:rPr>
      </w:pPr>
      <w:r w:rsidRPr="00123D79">
        <w:rPr>
          <w:rFonts w:ascii="Arial" w:eastAsia="Arial" w:hAnsi="Arial" w:cs="Arial"/>
          <w:b/>
          <w:sz w:val="22"/>
          <w:szCs w:val="22"/>
        </w:rPr>
        <w:t>FOR IMMEDIATE RELEASE:</w:t>
      </w:r>
    </w:p>
    <w:p w14:paraId="34523D0F" w14:textId="69B4FBB6" w:rsidR="00FE4B6D" w:rsidRPr="00123D79" w:rsidRDefault="00FE4B6D" w:rsidP="00732599">
      <w:pPr>
        <w:spacing w:after="0" w:line="240" w:lineRule="auto"/>
        <w:rPr>
          <w:rFonts w:ascii="Arial" w:eastAsia="Arial" w:hAnsi="Arial" w:cs="Arial"/>
          <w:sz w:val="22"/>
          <w:szCs w:val="22"/>
        </w:rPr>
      </w:pPr>
      <w:r w:rsidRPr="00123D79">
        <w:rPr>
          <w:rFonts w:ascii="Arial" w:eastAsia="Arial" w:hAnsi="Arial" w:cs="Arial"/>
          <w:sz w:val="22"/>
          <w:szCs w:val="22"/>
        </w:rPr>
        <w:t xml:space="preserve">July </w:t>
      </w:r>
      <w:r w:rsidR="00722D41">
        <w:rPr>
          <w:rFonts w:ascii="Arial" w:eastAsia="Arial" w:hAnsi="Arial" w:cs="Arial"/>
          <w:sz w:val="22"/>
          <w:szCs w:val="22"/>
        </w:rPr>
        <w:t>15</w:t>
      </w:r>
      <w:r w:rsidRPr="00123D79">
        <w:rPr>
          <w:rFonts w:ascii="Arial" w:eastAsia="Arial" w:hAnsi="Arial" w:cs="Arial"/>
          <w:sz w:val="22"/>
          <w:szCs w:val="22"/>
        </w:rPr>
        <w:t>, 2026</w:t>
      </w:r>
      <w:r w:rsidRPr="00123D79">
        <w:rPr>
          <w:rFonts w:ascii="Arial" w:eastAsia="Arial" w:hAnsi="Arial" w:cs="Arial"/>
          <w:sz w:val="22"/>
          <w:szCs w:val="22"/>
        </w:rPr>
        <w:tab/>
      </w:r>
    </w:p>
    <w:p w14:paraId="5412A0E0" w14:textId="77777777" w:rsidR="00732599" w:rsidRPr="00123D79" w:rsidRDefault="00732599" w:rsidP="006E3CA2">
      <w:pPr>
        <w:rPr>
          <w:rFonts w:ascii="Arial" w:hAnsi="Arial" w:cs="Arial"/>
          <w:sz w:val="22"/>
          <w:szCs w:val="22"/>
        </w:rPr>
      </w:pPr>
    </w:p>
    <w:p w14:paraId="1F275E2E" w14:textId="77777777" w:rsidR="00732599" w:rsidRPr="00123D79" w:rsidRDefault="006E3CA2" w:rsidP="00732599">
      <w:pPr>
        <w:spacing w:after="0"/>
        <w:rPr>
          <w:rFonts w:ascii="Arial" w:hAnsi="Arial" w:cs="Arial"/>
          <w:b/>
          <w:bCs/>
          <w:sz w:val="22"/>
          <w:szCs w:val="22"/>
        </w:rPr>
      </w:pPr>
      <w:r w:rsidRPr="00123D79">
        <w:rPr>
          <w:rFonts w:ascii="Arial" w:hAnsi="Arial" w:cs="Arial"/>
          <w:b/>
          <w:bCs/>
          <w:sz w:val="22"/>
          <w:szCs w:val="22"/>
        </w:rPr>
        <w:t>Diebold Nixdorf’s Vynamic</w:t>
      </w:r>
      <w:r w:rsidRPr="000D4CD4">
        <w:rPr>
          <w:rFonts w:ascii="Arial" w:hAnsi="Arial" w:cs="Arial"/>
          <w:b/>
          <w:bCs/>
          <w:sz w:val="22"/>
          <w:szCs w:val="22"/>
          <w:vertAlign w:val="superscript"/>
        </w:rPr>
        <w:t>®</w:t>
      </w:r>
      <w:r w:rsidRPr="00123D79">
        <w:rPr>
          <w:rFonts w:ascii="Arial" w:hAnsi="Arial" w:cs="Arial"/>
          <w:b/>
          <w:bCs/>
          <w:sz w:val="22"/>
          <w:szCs w:val="22"/>
        </w:rPr>
        <w:t xml:space="preserve"> Transaction Middleware Recognized by Global Payments Awards</w:t>
      </w:r>
    </w:p>
    <w:p w14:paraId="2086EDE4" w14:textId="3DC73ACB" w:rsidR="006E3CA2" w:rsidRPr="00E80352" w:rsidRDefault="006E3CA2" w:rsidP="00732599">
      <w:pPr>
        <w:spacing w:after="0"/>
        <w:rPr>
          <w:rFonts w:ascii="Arial" w:hAnsi="Arial" w:cs="Arial"/>
          <w:b/>
          <w:bCs/>
          <w:i/>
          <w:iCs/>
          <w:sz w:val="22"/>
          <w:szCs w:val="22"/>
        </w:rPr>
      </w:pPr>
      <w:r w:rsidRPr="00E80352">
        <w:rPr>
          <w:rFonts w:ascii="Arial" w:hAnsi="Arial" w:cs="Arial"/>
          <w:i/>
          <w:iCs/>
          <w:sz w:val="22"/>
          <w:szCs w:val="22"/>
        </w:rPr>
        <w:t xml:space="preserve">Cloud-native, API-driven platform honored by World Business Outlook and </w:t>
      </w:r>
      <w:proofErr w:type="spellStart"/>
      <w:r w:rsidRPr="00E80352">
        <w:rPr>
          <w:rFonts w:ascii="Arial" w:hAnsi="Arial" w:cs="Arial"/>
          <w:i/>
          <w:iCs/>
          <w:sz w:val="22"/>
          <w:szCs w:val="22"/>
        </w:rPr>
        <w:t>PayTech</w:t>
      </w:r>
      <w:proofErr w:type="spellEnd"/>
      <w:r w:rsidRPr="00E80352">
        <w:rPr>
          <w:rFonts w:ascii="Arial" w:hAnsi="Arial" w:cs="Arial"/>
          <w:i/>
          <w:iCs/>
          <w:sz w:val="22"/>
          <w:szCs w:val="22"/>
        </w:rPr>
        <w:t xml:space="preserve"> Awards 2026 for helping financial institutions modernize payments infrastructure</w:t>
      </w:r>
    </w:p>
    <w:p w14:paraId="7360FC9F" w14:textId="77777777" w:rsidR="006E3CA2" w:rsidRPr="00123D79" w:rsidRDefault="006E3CA2" w:rsidP="006E3CA2">
      <w:pPr>
        <w:rPr>
          <w:rFonts w:ascii="Arial" w:hAnsi="Arial" w:cs="Arial"/>
          <w:sz w:val="22"/>
          <w:szCs w:val="22"/>
        </w:rPr>
      </w:pPr>
      <w:r w:rsidRPr="00123D79">
        <w:rPr>
          <w:rFonts w:ascii="Arial" w:hAnsi="Arial" w:cs="Arial"/>
          <w:sz w:val="22"/>
          <w:szCs w:val="22"/>
        </w:rPr>
        <w:t xml:space="preserve"> </w:t>
      </w:r>
    </w:p>
    <w:p w14:paraId="3EB376BF" w14:textId="24669713" w:rsidR="0072228E" w:rsidRPr="0072228E" w:rsidRDefault="006E3CA2" w:rsidP="0072228E">
      <w:pPr>
        <w:spacing w:after="0" w:line="360" w:lineRule="auto"/>
        <w:ind w:firstLine="720"/>
        <w:rPr>
          <w:rFonts w:ascii="Arial" w:hAnsi="Arial" w:cs="Arial"/>
          <w:sz w:val="22"/>
          <w:szCs w:val="22"/>
        </w:rPr>
      </w:pPr>
      <w:r w:rsidRPr="00123D79">
        <w:rPr>
          <w:rFonts w:ascii="Arial" w:hAnsi="Arial" w:cs="Arial"/>
          <w:b/>
          <w:bCs/>
          <w:sz w:val="22"/>
          <w:szCs w:val="22"/>
        </w:rPr>
        <w:t>NORTH CANTON, Ohio</w:t>
      </w:r>
      <w:r w:rsidRPr="00123D79">
        <w:rPr>
          <w:rFonts w:ascii="Arial" w:hAnsi="Arial" w:cs="Arial"/>
          <w:sz w:val="22"/>
          <w:szCs w:val="22"/>
        </w:rPr>
        <w:t xml:space="preserve"> – Diebold Nixdorf (NYSE: DBD), a world leader in transforming the way people bank and shop, today announced that its </w:t>
      </w:r>
      <w:hyperlink r:id="rId10" w:history="1">
        <w:r w:rsidRPr="008418AE">
          <w:rPr>
            <w:rStyle w:val="Hyperlink"/>
            <w:rFonts w:ascii="Arial" w:hAnsi="Arial" w:cs="Arial"/>
            <w:sz w:val="22"/>
            <w:szCs w:val="22"/>
          </w:rPr>
          <w:t>Vynamic</w:t>
        </w:r>
        <w:r w:rsidRPr="008418AE">
          <w:rPr>
            <w:rStyle w:val="Hyperlink"/>
            <w:rFonts w:ascii="Arial" w:hAnsi="Arial" w:cs="Arial"/>
            <w:sz w:val="22"/>
            <w:szCs w:val="22"/>
            <w:vertAlign w:val="superscript"/>
          </w:rPr>
          <w:t>®</w:t>
        </w:r>
        <w:r w:rsidRPr="008418AE">
          <w:rPr>
            <w:rStyle w:val="Hyperlink"/>
            <w:rFonts w:ascii="Arial" w:hAnsi="Arial" w:cs="Arial"/>
            <w:sz w:val="22"/>
            <w:szCs w:val="22"/>
          </w:rPr>
          <w:t xml:space="preserve"> Transaction Middleware</w:t>
        </w:r>
      </w:hyperlink>
      <w:r w:rsidRPr="00123D79">
        <w:rPr>
          <w:rFonts w:ascii="Arial" w:hAnsi="Arial" w:cs="Arial"/>
          <w:sz w:val="22"/>
          <w:szCs w:val="22"/>
        </w:rPr>
        <w:t xml:space="preserve"> solution </w:t>
      </w:r>
      <w:r w:rsidR="00F53E38">
        <w:rPr>
          <w:rFonts w:ascii="Arial" w:hAnsi="Arial" w:cs="Arial"/>
          <w:sz w:val="22"/>
          <w:szCs w:val="22"/>
        </w:rPr>
        <w:t>recently</w:t>
      </w:r>
      <w:r w:rsidR="00F53E38" w:rsidRPr="00123D79">
        <w:rPr>
          <w:rFonts w:ascii="Arial" w:hAnsi="Arial" w:cs="Arial"/>
          <w:sz w:val="22"/>
          <w:szCs w:val="22"/>
        </w:rPr>
        <w:t xml:space="preserve"> </w:t>
      </w:r>
      <w:r w:rsidRPr="00123D79">
        <w:rPr>
          <w:rFonts w:ascii="Arial" w:hAnsi="Arial" w:cs="Arial"/>
          <w:sz w:val="22"/>
          <w:szCs w:val="22"/>
        </w:rPr>
        <w:t xml:space="preserve">received </w:t>
      </w:r>
      <w:r w:rsidR="00F53E38">
        <w:rPr>
          <w:rFonts w:ascii="Arial" w:hAnsi="Arial" w:cs="Arial"/>
          <w:sz w:val="22"/>
          <w:szCs w:val="22"/>
        </w:rPr>
        <w:t xml:space="preserve">two </w:t>
      </w:r>
      <w:r w:rsidRPr="00123D79">
        <w:rPr>
          <w:rFonts w:ascii="Arial" w:hAnsi="Arial" w:cs="Arial"/>
          <w:sz w:val="22"/>
          <w:szCs w:val="22"/>
        </w:rPr>
        <w:t>international recognition</w:t>
      </w:r>
      <w:r w:rsidR="009B4B75">
        <w:rPr>
          <w:rFonts w:ascii="Arial" w:hAnsi="Arial" w:cs="Arial"/>
          <w:sz w:val="22"/>
          <w:szCs w:val="22"/>
        </w:rPr>
        <w:t>s</w:t>
      </w:r>
      <w:r w:rsidRPr="00123D79">
        <w:rPr>
          <w:rFonts w:ascii="Arial" w:hAnsi="Arial" w:cs="Arial"/>
          <w:sz w:val="22"/>
          <w:szCs w:val="22"/>
        </w:rPr>
        <w:t xml:space="preserve"> for </w:t>
      </w:r>
      <w:r w:rsidR="002A096E" w:rsidRPr="00123D79">
        <w:rPr>
          <w:rFonts w:ascii="Arial" w:hAnsi="Arial" w:cs="Arial"/>
          <w:sz w:val="22"/>
          <w:szCs w:val="22"/>
        </w:rPr>
        <w:t xml:space="preserve">innovation </w:t>
      </w:r>
      <w:r w:rsidR="002A096E">
        <w:rPr>
          <w:rFonts w:ascii="Arial" w:hAnsi="Arial" w:cs="Arial"/>
          <w:sz w:val="22"/>
          <w:szCs w:val="22"/>
        </w:rPr>
        <w:t xml:space="preserve">in </w:t>
      </w:r>
      <w:r w:rsidRPr="00123D79">
        <w:rPr>
          <w:rFonts w:ascii="Arial" w:hAnsi="Arial" w:cs="Arial"/>
          <w:sz w:val="22"/>
          <w:szCs w:val="22"/>
        </w:rPr>
        <w:t xml:space="preserve">payments. </w:t>
      </w:r>
      <w:r w:rsidR="00F85762">
        <w:rPr>
          <w:rFonts w:ascii="Arial" w:hAnsi="Arial" w:cs="Arial"/>
          <w:sz w:val="22"/>
          <w:szCs w:val="22"/>
        </w:rPr>
        <w:t>The company</w:t>
      </w:r>
      <w:r w:rsidR="0072228E" w:rsidRPr="0072228E">
        <w:rPr>
          <w:rFonts w:ascii="Arial" w:hAnsi="Arial" w:cs="Arial"/>
          <w:sz w:val="22"/>
          <w:szCs w:val="22"/>
        </w:rPr>
        <w:t xml:space="preserve"> was named </w:t>
      </w:r>
      <w:r w:rsidR="0072228E" w:rsidRPr="0072228E">
        <w:rPr>
          <w:rFonts w:ascii="Arial" w:hAnsi="Arial" w:cs="Arial"/>
          <w:b/>
          <w:bCs/>
          <w:sz w:val="22"/>
          <w:szCs w:val="22"/>
        </w:rPr>
        <w:t>Best Payment Solutions Provider Global 2026</w:t>
      </w:r>
      <w:r w:rsidR="0072228E" w:rsidRPr="0072228E">
        <w:rPr>
          <w:rFonts w:ascii="Arial" w:hAnsi="Arial" w:cs="Arial"/>
          <w:sz w:val="22"/>
          <w:szCs w:val="22"/>
        </w:rPr>
        <w:t xml:space="preserve"> by World Business Outlook and earned </w:t>
      </w:r>
      <w:r w:rsidR="0072228E" w:rsidRPr="0025379E">
        <w:rPr>
          <w:rFonts w:ascii="Arial" w:hAnsi="Arial" w:cs="Arial"/>
          <w:sz w:val="22"/>
          <w:szCs w:val="22"/>
        </w:rPr>
        <w:t>Highly Commended</w:t>
      </w:r>
      <w:r w:rsidR="0072228E" w:rsidRPr="0072228E">
        <w:rPr>
          <w:rFonts w:ascii="Arial" w:hAnsi="Arial" w:cs="Arial"/>
          <w:sz w:val="22"/>
          <w:szCs w:val="22"/>
        </w:rPr>
        <w:t xml:space="preserve"> recognition in the </w:t>
      </w:r>
      <w:r w:rsidR="0072228E" w:rsidRPr="0072228E">
        <w:rPr>
          <w:rFonts w:ascii="Arial" w:hAnsi="Arial" w:cs="Arial"/>
          <w:b/>
          <w:bCs/>
          <w:sz w:val="22"/>
          <w:szCs w:val="22"/>
        </w:rPr>
        <w:t>Best Payments System for Banks and FIs</w:t>
      </w:r>
      <w:r w:rsidR="0072228E" w:rsidRPr="0072228E">
        <w:rPr>
          <w:rFonts w:ascii="Arial" w:hAnsi="Arial" w:cs="Arial"/>
          <w:sz w:val="22"/>
          <w:szCs w:val="22"/>
        </w:rPr>
        <w:t xml:space="preserve"> category at the </w:t>
      </w:r>
      <w:proofErr w:type="spellStart"/>
      <w:r w:rsidR="0072228E" w:rsidRPr="0072228E">
        <w:rPr>
          <w:rFonts w:ascii="Arial" w:hAnsi="Arial" w:cs="Arial"/>
          <w:sz w:val="22"/>
          <w:szCs w:val="22"/>
        </w:rPr>
        <w:t>PayTech</w:t>
      </w:r>
      <w:proofErr w:type="spellEnd"/>
      <w:r w:rsidR="0072228E" w:rsidRPr="0072228E">
        <w:rPr>
          <w:rFonts w:ascii="Arial" w:hAnsi="Arial" w:cs="Arial"/>
          <w:sz w:val="22"/>
          <w:szCs w:val="22"/>
        </w:rPr>
        <w:t xml:space="preserve"> Awards 2026.</w:t>
      </w:r>
    </w:p>
    <w:p w14:paraId="79FF8D67" w14:textId="6BEC761B" w:rsidR="00DB385D" w:rsidRDefault="006E3CA2" w:rsidP="00DB385D">
      <w:pPr>
        <w:spacing w:after="0" w:line="360" w:lineRule="auto"/>
        <w:ind w:firstLine="720"/>
        <w:rPr>
          <w:rFonts w:ascii="Arial" w:hAnsi="Arial" w:cs="Arial"/>
          <w:sz w:val="22"/>
          <w:szCs w:val="22"/>
        </w:rPr>
      </w:pPr>
      <w:r w:rsidRPr="00123D79">
        <w:rPr>
          <w:rFonts w:ascii="Arial" w:hAnsi="Arial" w:cs="Arial"/>
          <w:sz w:val="22"/>
          <w:szCs w:val="22"/>
        </w:rPr>
        <w:t xml:space="preserve">Vynamic Transaction </w:t>
      </w:r>
      <w:r w:rsidRPr="00DB385D">
        <w:rPr>
          <w:rFonts w:ascii="Arial" w:hAnsi="Arial" w:cs="Arial"/>
          <w:sz w:val="22"/>
          <w:szCs w:val="22"/>
        </w:rPr>
        <w:t xml:space="preserve">Middleware is Diebold Nixdorf’s cloud-native, API-driven platform </w:t>
      </w:r>
      <w:r w:rsidR="00DB385D" w:rsidRPr="00DB385D">
        <w:rPr>
          <w:rFonts w:ascii="Arial" w:hAnsi="Arial" w:cs="Arial"/>
          <w:sz w:val="22"/>
          <w:szCs w:val="22"/>
        </w:rPr>
        <w:t xml:space="preserve">designed to help financial institutions modernize rapidly, eliminate siloed systems and deliver a smooth and consistent payment experience. </w:t>
      </w:r>
      <w:r w:rsidR="00DF7BF5">
        <w:rPr>
          <w:rFonts w:ascii="Arial" w:hAnsi="Arial" w:cs="Arial"/>
          <w:sz w:val="22"/>
          <w:szCs w:val="22"/>
        </w:rPr>
        <w:t xml:space="preserve">It </w:t>
      </w:r>
      <w:r w:rsidR="00CF1BE1">
        <w:rPr>
          <w:rFonts w:ascii="Arial" w:hAnsi="Arial" w:cs="Arial"/>
          <w:sz w:val="22"/>
          <w:szCs w:val="22"/>
        </w:rPr>
        <w:t>provides</w:t>
      </w:r>
      <w:r w:rsidR="00DB385D" w:rsidRPr="00DB385D">
        <w:rPr>
          <w:rFonts w:ascii="Arial" w:hAnsi="Arial" w:cs="Arial"/>
          <w:sz w:val="22"/>
          <w:szCs w:val="22"/>
        </w:rPr>
        <w:t xml:space="preserve"> the core technology powering every payment interaction</w:t>
      </w:r>
      <w:r w:rsidR="00444997">
        <w:rPr>
          <w:rFonts w:ascii="Arial" w:hAnsi="Arial" w:cs="Arial"/>
          <w:sz w:val="22"/>
          <w:szCs w:val="22"/>
        </w:rPr>
        <w:t>, including</w:t>
      </w:r>
      <w:r w:rsidR="00B235A4">
        <w:rPr>
          <w:rFonts w:ascii="Arial" w:hAnsi="Arial" w:cs="Arial"/>
          <w:sz w:val="22"/>
          <w:szCs w:val="22"/>
        </w:rPr>
        <w:t xml:space="preserve"> </w:t>
      </w:r>
      <w:r w:rsidR="00DB385D" w:rsidRPr="00DB385D">
        <w:rPr>
          <w:rFonts w:ascii="Arial" w:hAnsi="Arial" w:cs="Arial"/>
          <w:sz w:val="22"/>
          <w:szCs w:val="22"/>
        </w:rPr>
        <w:t>ATM</w:t>
      </w:r>
      <w:r w:rsidR="00444997">
        <w:rPr>
          <w:rFonts w:ascii="Arial" w:hAnsi="Arial" w:cs="Arial"/>
          <w:sz w:val="22"/>
          <w:szCs w:val="22"/>
        </w:rPr>
        <w:t>s</w:t>
      </w:r>
      <w:r w:rsidR="00DB385D" w:rsidRPr="00DB385D">
        <w:rPr>
          <w:rFonts w:ascii="Arial" w:hAnsi="Arial" w:cs="Arial"/>
          <w:sz w:val="22"/>
          <w:szCs w:val="22"/>
        </w:rPr>
        <w:t>, POS</w:t>
      </w:r>
      <w:r w:rsidR="003C579D">
        <w:rPr>
          <w:rFonts w:ascii="Arial" w:hAnsi="Arial" w:cs="Arial"/>
          <w:sz w:val="22"/>
          <w:szCs w:val="22"/>
        </w:rPr>
        <w:t xml:space="preserve"> terminals</w:t>
      </w:r>
      <w:r w:rsidR="00DB385D" w:rsidRPr="00DB385D">
        <w:rPr>
          <w:rFonts w:ascii="Arial" w:hAnsi="Arial" w:cs="Arial"/>
          <w:sz w:val="22"/>
          <w:szCs w:val="22"/>
        </w:rPr>
        <w:t>, mobile, web, branch, instant payments and card</w:t>
      </w:r>
      <w:r w:rsidR="00DB385D" w:rsidRPr="00DB385D">
        <w:rPr>
          <w:rFonts w:ascii="Cambria Math" w:hAnsi="Cambria Math" w:cs="Cambria Math"/>
          <w:sz w:val="22"/>
          <w:szCs w:val="22"/>
        </w:rPr>
        <w:t>‑</w:t>
      </w:r>
      <w:r w:rsidR="00DB385D" w:rsidRPr="00DB385D">
        <w:rPr>
          <w:rFonts w:ascii="Arial" w:hAnsi="Arial" w:cs="Arial"/>
          <w:sz w:val="22"/>
          <w:szCs w:val="22"/>
        </w:rPr>
        <w:t>based transactions</w:t>
      </w:r>
      <w:r w:rsidR="00444997">
        <w:rPr>
          <w:rFonts w:ascii="Arial" w:hAnsi="Arial" w:cs="Arial"/>
          <w:sz w:val="22"/>
          <w:szCs w:val="22"/>
        </w:rPr>
        <w:t xml:space="preserve">. </w:t>
      </w:r>
      <w:r w:rsidR="00DB385D" w:rsidRPr="00DB385D">
        <w:rPr>
          <w:rFonts w:ascii="Arial" w:hAnsi="Arial" w:cs="Arial"/>
          <w:sz w:val="22"/>
          <w:szCs w:val="22"/>
        </w:rPr>
        <w:t>Vynamic Transaction Middleware unifies issuing, acquiring, authorization and orchestration into a single platform.</w:t>
      </w:r>
    </w:p>
    <w:p w14:paraId="3D375C7E" w14:textId="77777777" w:rsidR="00D72BCA" w:rsidRDefault="00D72BCA" w:rsidP="00E80352">
      <w:pPr>
        <w:spacing w:after="0" w:line="360" w:lineRule="auto"/>
        <w:ind w:firstLine="720"/>
        <w:rPr>
          <w:sz w:val="20"/>
          <w:szCs w:val="20"/>
        </w:rPr>
      </w:pPr>
      <w:r>
        <w:rPr>
          <w:rFonts w:ascii="Arial" w:hAnsi="Arial" w:cs="Arial"/>
          <w:sz w:val="22"/>
          <w:szCs w:val="22"/>
        </w:rPr>
        <w:t>Today, Vynamic Transaction Middleware is used by more than 80 financial institutions, supports more than 160,000 terminals worldwide and processes more than 20 billion transactions annually. In global deployments, the platform has helped institutions reduce operational complexity, streamline surrounding systems and accelerate time to market for new services while maintaining stability in high-volume payment environments.</w:t>
      </w:r>
    </w:p>
    <w:p w14:paraId="3C12D8F5" w14:textId="5F296BCD" w:rsidR="008418AE" w:rsidRPr="00123D79" w:rsidRDefault="00FA7EA5" w:rsidP="00A73D53">
      <w:pPr>
        <w:spacing w:after="0" w:line="360" w:lineRule="auto"/>
        <w:ind w:firstLine="720"/>
        <w:rPr>
          <w:rFonts w:ascii="Arial" w:hAnsi="Arial" w:cs="Arial"/>
          <w:sz w:val="22"/>
          <w:szCs w:val="22"/>
        </w:rPr>
      </w:pPr>
      <w:r>
        <w:rPr>
          <w:rFonts w:ascii="Arial" w:hAnsi="Arial" w:cs="Arial"/>
          <w:b/>
          <w:bCs/>
          <w:sz w:val="22"/>
          <w:szCs w:val="22"/>
        </w:rPr>
        <w:lastRenderedPageBreak/>
        <w:t xml:space="preserve">Andy Zosel, </w:t>
      </w:r>
      <w:r w:rsidR="000D4CD4">
        <w:rPr>
          <w:rFonts w:ascii="Arial" w:hAnsi="Arial" w:cs="Arial"/>
          <w:b/>
          <w:bCs/>
          <w:sz w:val="22"/>
          <w:szCs w:val="22"/>
        </w:rPr>
        <w:t xml:space="preserve">Diebold Nixdorf </w:t>
      </w:r>
      <w:r w:rsidR="00B57E4D">
        <w:rPr>
          <w:rFonts w:ascii="Arial" w:hAnsi="Arial" w:cs="Arial"/>
          <w:b/>
          <w:bCs/>
          <w:sz w:val="22"/>
          <w:szCs w:val="22"/>
        </w:rPr>
        <w:t xml:space="preserve">executive vice president and chief </w:t>
      </w:r>
      <w:r w:rsidR="000773C5">
        <w:rPr>
          <w:rFonts w:ascii="Arial" w:hAnsi="Arial" w:cs="Arial"/>
          <w:b/>
          <w:bCs/>
          <w:sz w:val="22"/>
          <w:szCs w:val="22"/>
        </w:rPr>
        <w:t>technology officer</w:t>
      </w:r>
      <w:r w:rsidR="008418AE" w:rsidRPr="00123D79">
        <w:rPr>
          <w:rFonts w:ascii="Arial" w:hAnsi="Arial" w:cs="Arial"/>
          <w:b/>
          <w:bCs/>
          <w:sz w:val="22"/>
          <w:szCs w:val="22"/>
        </w:rPr>
        <w:t>, said:</w:t>
      </w:r>
      <w:r w:rsidR="008418AE" w:rsidRPr="00123D79">
        <w:rPr>
          <w:rFonts w:ascii="Arial" w:hAnsi="Arial" w:cs="Arial"/>
          <w:sz w:val="22"/>
          <w:szCs w:val="22"/>
        </w:rPr>
        <w:t xml:space="preserve"> “These recognitions reflect the proven scale and flexibility of Vynamic Transaction Middleware, which helps banks and processors simplify complex environments, accelerate innovation and prepare for the continued evolution of global payments.</w:t>
      </w:r>
      <w:r w:rsidR="00A73D53">
        <w:rPr>
          <w:rFonts w:ascii="Arial" w:hAnsi="Arial" w:cs="Arial"/>
          <w:sz w:val="22"/>
          <w:szCs w:val="22"/>
        </w:rPr>
        <w:t xml:space="preserve"> </w:t>
      </w:r>
      <w:r w:rsidR="00A73D53" w:rsidRPr="00A73D53">
        <w:rPr>
          <w:rFonts w:ascii="Arial" w:hAnsi="Arial" w:cs="Arial"/>
          <w:sz w:val="22"/>
          <w:szCs w:val="22"/>
        </w:rPr>
        <w:t xml:space="preserve">They also reinforce Diebold Nixdorf’s success and strategy of expanding deeper into the branch by connecting payment capabilities with the broader banking </w:t>
      </w:r>
      <w:proofErr w:type="gramStart"/>
      <w:r w:rsidR="00A73D53" w:rsidRPr="00A73D53">
        <w:rPr>
          <w:rFonts w:ascii="Arial" w:hAnsi="Arial" w:cs="Arial"/>
          <w:sz w:val="22"/>
          <w:szCs w:val="22"/>
        </w:rPr>
        <w:t>experience.</w:t>
      </w:r>
      <w:r w:rsidR="008418AE" w:rsidRPr="00123D79">
        <w:rPr>
          <w:rFonts w:ascii="Arial" w:hAnsi="Arial" w:cs="Arial"/>
          <w:sz w:val="22"/>
          <w:szCs w:val="22"/>
        </w:rPr>
        <w:t>”</w:t>
      </w:r>
      <w:proofErr w:type="gramEnd"/>
    </w:p>
    <w:p w14:paraId="304F87C9" w14:textId="74B489AE" w:rsidR="00B16675" w:rsidRDefault="006E3CA2" w:rsidP="008418AE">
      <w:pPr>
        <w:spacing w:after="0" w:line="360" w:lineRule="auto"/>
        <w:ind w:firstLine="720"/>
        <w:rPr>
          <w:rFonts w:ascii="Arial" w:hAnsi="Arial" w:cs="Arial"/>
          <w:sz w:val="22"/>
          <w:szCs w:val="22"/>
        </w:rPr>
      </w:pPr>
      <w:hyperlink r:id="rId11" w:history="1">
        <w:r w:rsidRPr="008418AE">
          <w:rPr>
            <w:rStyle w:val="Hyperlink"/>
            <w:rFonts w:ascii="Arial" w:hAnsi="Arial" w:cs="Arial"/>
            <w:sz w:val="22"/>
            <w:szCs w:val="22"/>
          </w:rPr>
          <w:t>World Business Outlook Awards</w:t>
        </w:r>
      </w:hyperlink>
      <w:r w:rsidRPr="00123D79">
        <w:rPr>
          <w:rFonts w:ascii="Arial" w:hAnsi="Arial" w:cs="Arial"/>
          <w:sz w:val="22"/>
          <w:szCs w:val="22"/>
        </w:rPr>
        <w:t xml:space="preserve"> recognize and celebrate exceptional accomplishments, significant contributions, dedication, hard work and unwavering commitment to grow in the Business and Finance sector. The </w:t>
      </w:r>
      <w:hyperlink r:id="rId12" w:history="1">
        <w:proofErr w:type="spellStart"/>
        <w:r w:rsidRPr="008418AE">
          <w:rPr>
            <w:rStyle w:val="Hyperlink"/>
            <w:rFonts w:ascii="Arial" w:hAnsi="Arial" w:cs="Arial"/>
            <w:sz w:val="22"/>
            <w:szCs w:val="22"/>
          </w:rPr>
          <w:t>PayTech</w:t>
        </w:r>
        <w:proofErr w:type="spellEnd"/>
        <w:r w:rsidRPr="008418AE">
          <w:rPr>
            <w:rStyle w:val="Hyperlink"/>
            <w:rFonts w:ascii="Arial" w:hAnsi="Arial" w:cs="Arial"/>
            <w:sz w:val="22"/>
            <w:szCs w:val="22"/>
          </w:rPr>
          <w:t xml:space="preserve"> Awards</w:t>
        </w:r>
      </w:hyperlink>
      <w:r w:rsidRPr="00123D79">
        <w:rPr>
          <w:rFonts w:ascii="Arial" w:hAnsi="Arial" w:cs="Arial"/>
          <w:sz w:val="22"/>
          <w:szCs w:val="22"/>
        </w:rPr>
        <w:t>, presented by FinTech Futures, celebrate innovation and outstanding achievements in the payments industry.</w:t>
      </w:r>
    </w:p>
    <w:p w14:paraId="094F2718" w14:textId="77777777" w:rsidR="00123D79" w:rsidRDefault="00123D79" w:rsidP="006E3CA2">
      <w:pPr>
        <w:rPr>
          <w:rFonts w:ascii="Arial" w:hAnsi="Arial" w:cs="Arial"/>
          <w:sz w:val="22"/>
          <w:szCs w:val="22"/>
        </w:rPr>
      </w:pPr>
    </w:p>
    <w:p w14:paraId="28C183CB" w14:textId="77777777" w:rsidR="00123D79" w:rsidRDefault="00123D79" w:rsidP="00123D79">
      <w:pPr>
        <w:spacing w:line="360" w:lineRule="auto"/>
        <w:rPr>
          <w:rFonts w:ascii="Arial" w:eastAsia="Arial" w:hAnsi="Arial" w:cs="Arial"/>
          <w:color w:val="000000"/>
          <w:sz w:val="22"/>
          <w:szCs w:val="22"/>
        </w:rPr>
      </w:pPr>
      <w:r>
        <w:rPr>
          <w:rFonts w:ascii="Arial" w:eastAsia="Arial" w:hAnsi="Arial" w:cs="Arial"/>
          <w:b/>
          <w:color w:val="1E1E1E"/>
          <w:sz w:val="22"/>
          <w:szCs w:val="22"/>
        </w:rPr>
        <w:t>About Diebold Nixdorf</w:t>
      </w:r>
      <w:bookmarkStart w:id="0" w:name="OLE_LINK5"/>
    </w:p>
    <w:bookmarkEnd w:id="0"/>
    <w:p w14:paraId="22E9D851" w14:textId="77777777" w:rsidR="00123D79" w:rsidRPr="00E05394" w:rsidRDefault="00123D79" w:rsidP="00123D79">
      <w:pPr>
        <w:spacing w:line="360" w:lineRule="auto"/>
        <w:ind w:firstLine="720"/>
        <w:rPr>
          <w:rFonts w:ascii="Arial" w:hAnsi="Arial" w:cs="Arial"/>
          <w:bCs/>
          <w:sz w:val="22"/>
          <w:szCs w:val="22"/>
        </w:rPr>
      </w:pPr>
      <w:r w:rsidRPr="00E05394">
        <w:rPr>
          <w:rFonts w:ascii="Arial" w:hAnsi="Arial" w:cs="Arial"/>
          <w:bCs/>
          <w:sz w:val="22"/>
          <w:szCs w:val="22"/>
        </w:rPr>
        <w:t>Diebold Nixdorf, Incorporated (NYSE: DBD) automates, digitizes and transforms the way people bank and shop. As a leading global technology and services partner to many of the world’s top financial institutions and retailers, our integrated solutions connect digital and physical channels for consumers conveniently, securely and efficiently. The company has a presence in more than 100 countries with approximately 20,000 employees worldwide. Visit </w:t>
      </w:r>
      <w:hyperlink r:id="rId13" w:history="1">
        <w:r w:rsidRPr="00046FF6">
          <w:rPr>
            <w:rStyle w:val="Hyperlink"/>
            <w:rFonts w:ascii="Arial" w:hAnsi="Arial" w:cs="Arial"/>
            <w:bCs/>
            <w:sz w:val="22"/>
            <w:szCs w:val="22"/>
          </w:rPr>
          <w:t>www.DieboldNixdorf.com</w:t>
        </w:r>
      </w:hyperlink>
      <w:r w:rsidRPr="00E05394">
        <w:rPr>
          <w:rFonts w:ascii="Arial" w:hAnsi="Arial" w:cs="Arial"/>
          <w:bCs/>
          <w:sz w:val="22"/>
          <w:szCs w:val="22"/>
        </w:rPr>
        <w:t xml:space="preserve"> for more information.</w:t>
      </w:r>
    </w:p>
    <w:p w14:paraId="001C5F8A" w14:textId="77777777" w:rsidR="00123D79" w:rsidRDefault="00123D79" w:rsidP="00123D79">
      <w:pPr>
        <w:spacing w:after="0" w:line="240" w:lineRule="auto"/>
        <w:rPr>
          <w:rFonts w:ascii="Arial" w:hAnsi="Arial" w:cs="Arial"/>
          <w:b/>
          <w:sz w:val="22"/>
          <w:szCs w:val="22"/>
        </w:rPr>
      </w:pPr>
      <w:r>
        <w:rPr>
          <w:rFonts w:ascii="Arial" w:hAnsi="Arial" w:cs="Arial"/>
          <w:sz w:val="22"/>
          <w:szCs w:val="22"/>
        </w:rPr>
        <w:br/>
        <w:t xml:space="preserve">X: </w:t>
      </w:r>
      <w:hyperlink r:id="rId14" w:history="1">
        <w:r>
          <w:rPr>
            <w:rStyle w:val="Hyperlink"/>
            <w:rFonts w:ascii="Arial" w:hAnsi="Arial" w:cs="Arial"/>
            <w:sz w:val="22"/>
            <w:szCs w:val="22"/>
          </w:rPr>
          <w:t>@DieboldNixdorf</w:t>
        </w:r>
      </w:hyperlink>
      <w:r>
        <w:rPr>
          <w:rFonts w:ascii="Arial" w:hAnsi="Arial" w:cs="Arial"/>
          <w:sz w:val="22"/>
          <w:szCs w:val="22"/>
        </w:rPr>
        <w:t xml:space="preserve"> </w:t>
      </w:r>
    </w:p>
    <w:p w14:paraId="5B89E8E1" w14:textId="77777777" w:rsidR="00123D79" w:rsidRDefault="00123D79" w:rsidP="00123D79">
      <w:pPr>
        <w:spacing w:after="0" w:line="240" w:lineRule="auto"/>
        <w:rPr>
          <w:rFonts w:ascii="Arial" w:hAnsi="Arial" w:cs="Arial"/>
          <w:b/>
          <w:sz w:val="22"/>
          <w:szCs w:val="22"/>
        </w:rPr>
      </w:pPr>
      <w:r>
        <w:rPr>
          <w:rFonts w:ascii="Arial" w:hAnsi="Arial" w:cs="Arial"/>
          <w:sz w:val="22"/>
          <w:szCs w:val="22"/>
        </w:rPr>
        <w:t xml:space="preserve">LinkedIn: </w:t>
      </w:r>
      <w:hyperlink r:id="rId15" w:history="1">
        <w:r>
          <w:rPr>
            <w:rStyle w:val="Hyperlink"/>
            <w:rFonts w:ascii="Arial" w:hAnsi="Arial" w:cs="Arial"/>
            <w:sz w:val="22"/>
            <w:szCs w:val="22"/>
          </w:rPr>
          <w:t>www.linkedin.com/company/diebold</w:t>
        </w:r>
      </w:hyperlink>
      <w:r>
        <w:rPr>
          <w:rFonts w:ascii="Arial" w:hAnsi="Arial" w:cs="Arial"/>
          <w:sz w:val="22"/>
          <w:szCs w:val="22"/>
        </w:rPr>
        <w:t xml:space="preserve">  </w:t>
      </w:r>
    </w:p>
    <w:p w14:paraId="54B7DEF9" w14:textId="77777777" w:rsidR="00123D79" w:rsidRPr="0015614C" w:rsidRDefault="00123D79" w:rsidP="00123D79">
      <w:pPr>
        <w:spacing w:after="0" w:line="240" w:lineRule="auto"/>
        <w:rPr>
          <w:rFonts w:ascii="Arial" w:hAnsi="Arial" w:cs="Arial"/>
          <w:b/>
          <w:sz w:val="22"/>
          <w:szCs w:val="22"/>
        </w:rPr>
      </w:pPr>
      <w:r>
        <w:rPr>
          <w:rFonts w:ascii="Arial" w:hAnsi="Arial" w:cs="Arial"/>
          <w:sz w:val="22"/>
          <w:szCs w:val="22"/>
        </w:rPr>
        <w:t xml:space="preserve">Facebook: </w:t>
      </w:r>
      <w:hyperlink r:id="rId16" w:history="1">
        <w:r>
          <w:rPr>
            <w:rStyle w:val="Hyperlink"/>
            <w:rFonts w:ascii="Arial" w:hAnsi="Arial" w:cs="Arial"/>
            <w:sz w:val="22"/>
            <w:szCs w:val="22"/>
          </w:rPr>
          <w:t>www.facebook.com/DieboldNixdorf</w:t>
        </w:r>
      </w:hyperlink>
    </w:p>
    <w:p w14:paraId="2CF1D984" w14:textId="77777777" w:rsidR="00123D79" w:rsidRPr="004C779F" w:rsidRDefault="00123D79" w:rsidP="00123D79">
      <w:pPr>
        <w:spacing w:after="0" w:line="240" w:lineRule="auto"/>
        <w:rPr>
          <w:color w:val="467886" w:themeColor="hyperlink"/>
          <w:u w:val="single"/>
        </w:rPr>
      </w:pPr>
      <w:r>
        <w:rPr>
          <w:rFonts w:ascii="Arial" w:hAnsi="Arial" w:cs="Arial"/>
          <w:sz w:val="22"/>
          <w:szCs w:val="22"/>
        </w:rPr>
        <w:t xml:space="preserve">YouTube: </w:t>
      </w:r>
      <w:hyperlink r:id="rId17" w:history="1">
        <w:r>
          <w:rPr>
            <w:rStyle w:val="Hyperlink"/>
            <w:rFonts w:ascii="Arial" w:hAnsi="Arial" w:cs="Arial"/>
            <w:sz w:val="22"/>
            <w:szCs w:val="22"/>
          </w:rPr>
          <w:t>www.youtube.com/dieboldnixdorf</w:t>
        </w:r>
      </w:hyperlink>
    </w:p>
    <w:p w14:paraId="55325560" w14:textId="77777777" w:rsidR="00123D79" w:rsidRDefault="00123D79" w:rsidP="00123D79">
      <w:pPr>
        <w:spacing w:line="360" w:lineRule="auto"/>
        <w:rPr>
          <w:rFonts w:ascii="Arial" w:eastAsia="Arial" w:hAnsi="Arial" w:cs="Arial"/>
          <w:color w:val="000000" w:themeColor="text1"/>
          <w:sz w:val="16"/>
          <w:szCs w:val="16"/>
        </w:rPr>
      </w:pPr>
    </w:p>
    <w:p w14:paraId="0702151A" w14:textId="77777777" w:rsidR="00123D79" w:rsidRDefault="00123D79" w:rsidP="00123D79">
      <w:pPr>
        <w:spacing w:line="360" w:lineRule="auto"/>
        <w:rPr>
          <w:rFonts w:ascii="Arial" w:eastAsia="Arial" w:hAnsi="Arial" w:cs="Arial"/>
          <w:color w:val="000000" w:themeColor="text1"/>
          <w:sz w:val="16"/>
          <w:szCs w:val="16"/>
        </w:rPr>
      </w:pPr>
      <w:r w:rsidRPr="009542BC">
        <w:rPr>
          <w:rFonts w:ascii="Arial" w:eastAsia="Arial" w:hAnsi="Arial" w:cs="Arial"/>
          <w:color w:val="000000" w:themeColor="text1"/>
          <w:sz w:val="16"/>
          <w:szCs w:val="16"/>
        </w:rPr>
        <w:t>DN</w:t>
      </w:r>
      <w:r>
        <w:rPr>
          <w:rFonts w:ascii="Arial" w:eastAsia="Arial" w:hAnsi="Arial" w:cs="Arial"/>
          <w:color w:val="000000" w:themeColor="text1"/>
          <w:sz w:val="16"/>
          <w:szCs w:val="16"/>
        </w:rPr>
        <w:t>-B</w:t>
      </w:r>
    </w:p>
    <w:p w14:paraId="75F03606" w14:textId="77777777" w:rsidR="00123D79" w:rsidRDefault="00123D79" w:rsidP="00123D79">
      <w:pPr>
        <w:spacing w:line="360" w:lineRule="auto"/>
        <w:rPr>
          <w:rFonts w:ascii="Arial" w:eastAsia="Arial" w:hAnsi="Arial" w:cs="Arial"/>
          <w:color w:val="000000" w:themeColor="text1"/>
          <w:sz w:val="16"/>
          <w:szCs w:val="16"/>
        </w:rPr>
      </w:pPr>
    </w:p>
    <w:p w14:paraId="1B556B22" w14:textId="77777777" w:rsidR="00123D79" w:rsidRDefault="00123D79" w:rsidP="00123D79">
      <w:pPr>
        <w:spacing w:line="360" w:lineRule="auto"/>
        <w:jc w:val="center"/>
        <w:rPr>
          <w:rFonts w:eastAsia="Arial"/>
        </w:rPr>
      </w:pPr>
      <w:r>
        <w:rPr>
          <w:rFonts w:ascii="Arial" w:eastAsia="Arial" w:hAnsi="Arial" w:cs="Arial"/>
          <w:color w:val="000000" w:themeColor="text1"/>
          <w:sz w:val="16"/>
          <w:szCs w:val="16"/>
        </w:rPr>
        <w:t>###</w:t>
      </w:r>
    </w:p>
    <w:p w14:paraId="34973B0F" w14:textId="77777777" w:rsidR="00123D79" w:rsidRPr="00123D79" w:rsidRDefault="00123D79" w:rsidP="006E3CA2">
      <w:pPr>
        <w:rPr>
          <w:rFonts w:ascii="Arial" w:hAnsi="Arial" w:cs="Arial"/>
          <w:sz w:val="22"/>
          <w:szCs w:val="22"/>
        </w:rPr>
      </w:pPr>
    </w:p>
    <w:sectPr w:rsidR="00123D79" w:rsidRPr="00123D79" w:rsidSect="00123D79">
      <w:head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FE55" w14:textId="77777777" w:rsidR="00200A82" w:rsidRDefault="00200A82" w:rsidP="00123D79">
      <w:pPr>
        <w:spacing w:after="0" w:line="240" w:lineRule="auto"/>
      </w:pPr>
      <w:r>
        <w:separator/>
      </w:r>
    </w:p>
  </w:endnote>
  <w:endnote w:type="continuationSeparator" w:id="0">
    <w:p w14:paraId="72589A24" w14:textId="77777777" w:rsidR="00200A82" w:rsidRDefault="00200A82" w:rsidP="0012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93F32" w14:textId="77777777" w:rsidR="00123D79" w:rsidRDefault="00123D79" w:rsidP="00123D79">
    <w:pPr>
      <w:pBdr>
        <w:top w:val="nil"/>
        <w:left w:val="nil"/>
        <w:bottom w:val="nil"/>
        <w:right w:val="nil"/>
        <w:between w:val="nil"/>
      </w:pBdr>
      <w:tabs>
        <w:tab w:val="center" w:pos="4819"/>
        <w:tab w:val="right" w:pos="9638"/>
      </w:tabs>
      <w:jc w:val="center"/>
      <w:rPr>
        <w:rFonts w:ascii="Arial" w:eastAsia="Arial" w:hAnsi="Arial" w:cs="Arial"/>
        <w:color w:val="000000"/>
        <w:sz w:val="22"/>
        <w:szCs w:val="22"/>
      </w:rPr>
    </w:pPr>
    <w:r>
      <w:rPr>
        <w:rFonts w:ascii="Arial" w:eastAsia="Arial" w:hAnsi="Arial" w:cs="Arial"/>
        <w:color w:val="000000"/>
        <w:sz w:val="22"/>
        <w:szCs w:val="22"/>
      </w:rPr>
      <w:t>(more)</w:t>
    </w:r>
  </w:p>
  <w:p w14:paraId="5EB7297B" w14:textId="77777777" w:rsidR="00123D79" w:rsidRDefault="00123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2488" w14:textId="0F475698" w:rsidR="008418AE" w:rsidRDefault="008418AE" w:rsidP="008418AE">
    <w:pPr>
      <w:pStyle w:val="Footer"/>
      <w:jc w:val="center"/>
    </w:pPr>
    <w:r>
      <w:t>(more)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D31C7" w14:textId="77777777" w:rsidR="00200A82" w:rsidRDefault="00200A82" w:rsidP="00123D79">
      <w:pPr>
        <w:spacing w:after="0" w:line="240" w:lineRule="auto"/>
      </w:pPr>
      <w:r>
        <w:separator/>
      </w:r>
    </w:p>
  </w:footnote>
  <w:footnote w:type="continuationSeparator" w:id="0">
    <w:p w14:paraId="06CABBCB" w14:textId="77777777" w:rsidR="00200A82" w:rsidRDefault="00200A82" w:rsidP="00123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7455" w14:textId="77777777" w:rsidR="00123D79" w:rsidRPr="009A0963" w:rsidRDefault="00123D79" w:rsidP="00123D79">
    <w:pPr>
      <w:rPr>
        <w:kern w:val="0"/>
        <w:sz w:val="20"/>
        <w:szCs w:val="20"/>
        <w14:ligatures w14:val="none"/>
      </w:rPr>
    </w:pPr>
    <w:r w:rsidRPr="009A0963">
      <w:rPr>
        <w:rFonts w:ascii="Arial" w:hAnsi="Arial" w:cs="Arial"/>
        <w:b/>
        <w:bCs/>
        <w:sz w:val="22"/>
        <w:szCs w:val="22"/>
      </w:rPr>
      <w:t>Diebold Nixdorf’s Vynamic</w:t>
    </w:r>
    <w:r w:rsidRPr="009A0963">
      <w:rPr>
        <w:rFonts w:ascii="Arial" w:hAnsi="Arial" w:cs="Arial"/>
        <w:b/>
        <w:bCs/>
        <w:sz w:val="22"/>
        <w:szCs w:val="22"/>
        <w:vertAlign w:val="superscript"/>
      </w:rPr>
      <w:t>®</w:t>
    </w:r>
    <w:r w:rsidRPr="009A0963">
      <w:rPr>
        <w:rFonts w:ascii="Arial" w:hAnsi="Arial" w:cs="Arial"/>
        <w:b/>
        <w:bCs/>
        <w:sz w:val="22"/>
        <w:szCs w:val="22"/>
      </w:rPr>
      <w:t xml:space="preserve"> Transaction Middleware Recognized by Global Payments Awards</w:t>
    </w:r>
    <w:r>
      <w:t xml:space="preserve"> </w:t>
    </w:r>
    <w:r w:rsidRPr="00111381">
      <w:rPr>
        <w:rFonts w:ascii="Arial" w:eastAsia="Arial" w:hAnsi="Arial" w:cs="Arial"/>
        <w:b/>
        <w:bCs/>
        <w:sz w:val="22"/>
        <w:szCs w:val="22"/>
      </w:rPr>
      <w:t>/ Page 2</w:t>
    </w:r>
  </w:p>
  <w:p w14:paraId="5A513A9E" w14:textId="79164292" w:rsidR="00123D79" w:rsidRDefault="00123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F5E2" w14:textId="00773AC5" w:rsidR="00123D79" w:rsidRDefault="0012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A2"/>
    <w:rsid w:val="000102F0"/>
    <w:rsid w:val="000117DA"/>
    <w:rsid w:val="00072F45"/>
    <w:rsid w:val="000773C5"/>
    <w:rsid w:val="000B1CAE"/>
    <w:rsid w:val="000C15F9"/>
    <w:rsid w:val="000C4083"/>
    <w:rsid w:val="000D4CD4"/>
    <w:rsid w:val="000F7195"/>
    <w:rsid w:val="00123D79"/>
    <w:rsid w:val="00146B6E"/>
    <w:rsid w:val="00157FCE"/>
    <w:rsid w:val="00200A82"/>
    <w:rsid w:val="002379F2"/>
    <w:rsid w:val="0025379E"/>
    <w:rsid w:val="00294513"/>
    <w:rsid w:val="00297E2E"/>
    <w:rsid w:val="002A096E"/>
    <w:rsid w:val="003374D0"/>
    <w:rsid w:val="003C579D"/>
    <w:rsid w:val="003D5327"/>
    <w:rsid w:val="00444997"/>
    <w:rsid w:val="00471996"/>
    <w:rsid w:val="0058336F"/>
    <w:rsid w:val="005B14AE"/>
    <w:rsid w:val="005F0DE1"/>
    <w:rsid w:val="00653D92"/>
    <w:rsid w:val="00690EAD"/>
    <w:rsid w:val="00692BC2"/>
    <w:rsid w:val="006C1813"/>
    <w:rsid w:val="006E3CA2"/>
    <w:rsid w:val="0070259F"/>
    <w:rsid w:val="00720756"/>
    <w:rsid w:val="0072228E"/>
    <w:rsid w:val="00722D41"/>
    <w:rsid w:val="00732599"/>
    <w:rsid w:val="00775EC1"/>
    <w:rsid w:val="007D16A3"/>
    <w:rsid w:val="007D1802"/>
    <w:rsid w:val="00840D7F"/>
    <w:rsid w:val="008418AE"/>
    <w:rsid w:val="00934351"/>
    <w:rsid w:val="009B4B75"/>
    <w:rsid w:val="009E488D"/>
    <w:rsid w:val="009F7D5D"/>
    <w:rsid w:val="00A406CD"/>
    <w:rsid w:val="00A5688D"/>
    <w:rsid w:val="00A73D53"/>
    <w:rsid w:val="00B16675"/>
    <w:rsid w:val="00B235A4"/>
    <w:rsid w:val="00B57E4D"/>
    <w:rsid w:val="00BF41B9"/>
    <w:rsid w:val="00C02589"/>
    <w:rsid w:val="00C4482C"/>
    <w:rsid w:val="00C56CB2"/>
    <w:rsid w:val="00C66744"/>
    <w:rsid w:val="00CA6255"/>
    <w:rsid w:val="00CD0BB8"/>
    <w:rsid w:val="00CF1BE1"/>
    <w:rsid w:val="00CF4E20"/>
    <w:rsid w:val="00D4060D"/>
    <w:rsid w:val="00D72BCA"/>
    <w:rsid w:val="00DB385D"/>
    <w:rsid w:val="00DB7723"/>
    <w:rsid w:val="00DF7BF5"/>
    <w:rsid w:val="00E558FB"/>
    <w:rsid w:val="00E80352"/>
    <w:rsid w:val="00EE779F"/>
    <w:rsid w:val="00F130EF"/>
    <w:rsid w:val="00F15732"/>
    <w:rsid w:val="00F53E38"/>
    <w:rsid w:val="00F734D2"/>
    <w:rsid w:val="00F856F3"/>
    <w:rsid w:val="00F85762"/>
    <w:rsid w:val="00FA7EA5"/>
    <w:rsid w:val="00FE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5B78F"/>
  <w15:chartTrackingRefBased/>
  <w15:docId w15:val="{4F3794E0-76DA-429B-AE51-6C6E766D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C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C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C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C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C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C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C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C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C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C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C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C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C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C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C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C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C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CA2"/>
    <w:rPr>
      <w:rFonts w:eastAsiaTheme="majorEastAsia" w:cstheme="majorBidi"/>
      <w:color w:val="272727" w:themeColor="text1" w:themeTint="D8"/>
    </w:rPr>
  </w:style>
  <w:style w:type="paragraph" w:styleId="Title">
    <w:name w:val="Title"/>
    <w:basedOn w:val="Normal"/>
    <w:next w:val="Normal"/>
    <w:link w:val="TitleChar"/>
    <w:uiPriority w:val="10"/>
    <w:qFormat/>
    <w:rsid w:val="006E3C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C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C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C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CA2"/>
    <w:pPr>
      <w:spacing w:before="160"/>
      <w:jc w:val="center"/>
    </w:pPr>
    <w:rPr>
      <w:i/>
      <w:iCs/>
      <w:color w:val="404040" w:themeColor="text1" w:themeTint="BF"/>
    </w:rPr>
  </w:style>
  <w:style w:type="character" w:customStyle="1" w:styleId="QuoteChar">
    <w:name w:val="Quote Char"/>
    <w:basedOn w:val="DefaultParagraphFont"/>
    <w:link w:val="Quote"/>
    <w:uiPriority w:val="29"/>
    <w:rsid w:val="006E3CA2"/>
    <w:rPr>
      <w:i/>
      <w:iCs/>
      <w:color w:val="404040" w:themeColor="text1" w:themeTint="BF"/>
    </w:rPr>
  </w:style>
  <w:style w:type="paragraph" w:styleId="ListParagraph">
    <w:name w:val="List Paragraph"/>
    <w:basedOn w:val="Normal"/>
    <w:uiPriority w:val="34"/>
    <w:qFormat/>
    <w:rsid w:val="006E3CA2"/>
    <w:pPr>
      <w:ind w:left="720"/>
      <w:contextualSpacing/>
    </w:pPr>
  </w:style>
  <w:style w:type="character" w:styleId="IntenseEmphasis">
    <w:name w:val="Intense Emphasis"/>
    <w:basedOn w:val="DefaultParagraphFont"/>
    <w:uiPriority w:val="21"/>
    <w:qFormat/>
    <w:rsid w:val="006E3CA2"/>
    <w:rPr>
      <w:i/>
      <w:iCs/>
      <w:color w:val="0F4761" w:themeColor="accent1" w:themeShade="BF"/>
    </w:rPr>
  </w:style>
  <w:style w:type="paragraph" w:styleId="IntenseQuote">
    <w:name w:val="Intense Quote"/>
    <w:basedOn w:val="Normal"/>
    <w:next w:val="Normal"/>
    <w:link w:val="IntenseQuoteChar"/>
    <w:uiPriority w:val="30"/>
    <w:qFormat/>
    <w:rsid w:val="006E3C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CA2"/>
    <w:rPr>
      <w:i/>
      <w:iCs/>
      <w:color w:val="0F4761" w:themeColor="accent1" w:themeShade="BF"/>
    </w:rPr>
  </w:style>
  <w:style w:type="character" w:styleId="IntenseReference">
    <w:name w:val="Intense Reference"/>
    <w:basedOn w:val="DefaultParagraphFont"/>
    <w:uiPriority w:val="32"/>
    <w:qFormat/>
    <w:rsid w:val="006E3CA2"/>
    <w:rPr>
      <w:b/>
      <w:bCs/>
      <w:smallCaps/>
      <w:color w:val="0F4761" w:themeColor="accent1" w:themeShade="BF"/>
      <w:spacing w:val="5"/>
    </w:rPr>
  </w:style>
  <w:style w:type="character" w:styleId="Hyperlink">
    <w:name w:val="Hyperlink"/>
    <w:basedOn w:val="DefaultParagraphFont"/>
    <w:uiPriority w:val="99"/>
    <w:unhideWhenUsed/>
    <w:rsid w:val="00FE4B6D"/>
    <w:rPr>
      <w:color w:val="467886" w:themeColor="hyperlink"/>
      <w:u w:val="single"/>
    </w:rPr>
  </w:style>
  <w:style w:type="character" w:styleId="UnresolvedMention">
    <w:name w:val="Unresolved Mention"/>
    <w:basedOn w:val="DefaultParagraphFont"/>
    <w:uiPriority w:val="99"/>
    <w:semiHidden/>
    <w:unhideWhenUsed/>
    <w:rsid w:val="00732599"/>
    <w:rPr>
      <w:color w:val="605E5C"/>
      <w:shd w:val="clear" w:color="auto" w:fill="E1DFDD"/>
    </w:rPr>
  </w:style>
  <w:style w:type="paragraph" w:styleId="Header">
    <w:name w:val="header"/>
    <w:basedOn w:val="Normal"/>
    <w:link w:val="HeaderChar"/>
    <w:uiPriority w:val="99"/>
    <w:unhideWhenUsed/>
    <w:rsid w:val="00123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79"/>
  </w:style>
  <w:style w:type="paragraph" w:styleId="Footer">
    <w:name w:val="footer"/>
    <w:basedOn w:val="Normal"/>
    <w:link w:val="FooterChar"/>
    <w:uiPriority w:val="99"/>
    <w:unhideWhenUsed/>
    <w:rsid w:val="00123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79"/>
  </w:style>
  <w:style w:type="character" w:styleId="CommentReference">
    <w:name w:val="annotation reference"/>
    <w:basedOn w:val="DefaultParagraphFont"/>
    <w:uiPriority w:val="99"/>
    <w:semiHidden/>
    <w:unhideWhenUsed/>
    <w:rsid w:val="00C56CB2"/>
    <w:rPr>
      <w:sz w:val="16"/>
      <w:szCs w:val="16"/>
    </w:rPr>
  </w:style>
  <w:style w:type="paragraph" w:styleId="CommentText">
    <w:name w:val="annotation text"/>
    <w:basedOn w:val="Normal"/>
    <w:link w:val="CommentTextChar"/>
    <w:uiPriority w:val="99"/>
    <w:unhideWhenUsed/>
    <w:rsid w:val="00C56CB2"/>
    <w:pPr>
      <w:spacing w:line="240" w:lineRule="auto"/>
    </w:pPr>
    <w:rPr>
      <w:sz w:val="20"/>
      <w:szCs w:val="20"/>
    </w:rPr>
  </w:style>
  <w:style w:type="character" w:customStyle="1" w:styleId="CommentTextChar">
    <w:name w:val="Comment Text Char"/>
    <w:basedOn w:val="DefaultParagraphFont"/>
    <w:link w:val="CommentText"/>
    <w:uiPriority w:val="99"/>
    <w:rsid w:val="00C56CB2"/>
    <w:rPr>
      <w:sz w:val="20"/>
      <w:szCs w:val="20"/>
    </w:rPr>
  </w:style>
  <w:style w:type="paragraph" w:styleId="CommentSubject">
    <w:name w:val="annotation subject"/>
    <w:basedOn w:val="CommentText"/>
    <w:next w:val="CommentText"/>
    <w:link w:val="CommentSubjectChar"/>
    <w:uiPriority w:val="99"/>
    <w:semiHidden/>
    <w:unhideWhenUsed/>
    <w:rsid w:val="00C56CB2"/>
    <w:rPr>
      <w:b/>
      <w:bCs/>
    </w:rPr>
  </w:style>
  <w:style w:type="character" w:customStyle="1" w:styleId="CommentSubjectChar">
    <w:name w:val="Comment Subject Char"/>
    <w:basedOn w:val="CommentTextChar"/>
    <w:link w:val="CommentSubject"/>
    <w:uiPriority w:val="99"/>
    <w:semiHidden/>
    <w:rsid w:val="00C56CB2"/>
    <w:rPr>
      <w:b/>
      <w:bCs/>
      <w:sz w:val="20"/>
      <w:szCs w:val="20"/>
    </w:rPr>
  </w:style>
  <w:style w:type="paragraph" w:styleId="Revision">
    <w:name w:val="Revision"/>
    <w:hidden/>
    <w:uiPriority w:val="99"/>
    <w:semiHidden/>
    <w:rsid w:val="00C66744"/>
    <w:pPr>
      <w:spacing w:after="0" w:line="240" w:lineRule="auto"/>
    </w:pPr>
  </w:style>
  <w:style w:type="character" w:styleId="FollowedHyperlink">
    <w:name w:val="FollowedHyperlink"/>
    <w:basedOn w:val="DefaultParagraphFont"/>
    <w:uiPriority w:val="99"/>
    <w:semiHidden/>
    <w:unhideWhenUsed/>
    <w:rsid w:val="00E558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dieboldnixdorf.com" TargetMode="External"/><Relationship Id="rId13" Type="http://schemas.openxmlformats.org/officeDocument/2006/relationships/hyperlink" Target="http://www.DieboldNixdorf.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s://informaconnect.com/paytech-awards/" TargetMode="External"/><Relationship Id="rId17" Type="http://schemas.openxmlformats.org/officeDocument/2006/relationships/hyperlink" Target="http://www.youtube.com/dieboldnixdorf" TargetMode="External"/><Relationship Id="rId2" Type="http://schemas.openxmlformats.org/officeDocument/2006/relationships/styles" Target="styles.xml"/><Relationship Id="rId16" Type="http://schemas.openxmlformats.org/officeDocument/2006/relationships/hyperlink" Target="http://www.facebook.com/DieboldNixdorf"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ldbusinessoutlook.com/awards/" TargetMode="External"/><Relationship Id="rId5" Type="http://schemas.openxmlformats.org/officeDocument/2006/relationships/footnotes" Target="footnotes.xml"/><Relationship Id="rId15" Type="http://schemas.openxmlformats.org/officeDocument/2006/relationships/hyperlink" Target="http://www.linkedin.com/company/diebold" TargetMode="External"/><Relationship Id="rId23" Type="http://schemas.openxmlformats.org/officeDocument/2006/relationships/theme" Target="theme/theme1.xml"/><Relationship Id="rId10" Type="http://schemas.openxmlformats.org/officeDocument/2006/relationships/hyperlink" Target="https://www.dieboldnixdorf.com/en-us/banking/portfolio/software/transaction-middlewar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iffini.bloniarz@dieboldnixdorf.com" TargetMode="External"/><Relationship Id="rId14" Type="http://schemas.openxmlformats.org/officeDocument/2006/relationships/hyperlink" Target="https://x.com/dieboldnixdor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511</Words>
  <Characters>3532</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Bloniarz, Tiffini</dc:creator>
  <cp:keywords/>
  <dc:description/>
  <cp:lastModifiedBy>Bloniarz, Tiffini</cp:lastModifiedBy>
  <cp:revision>5</cp:revision>
  <dcterms:created xsi:type="dcterms:W3CDTF">2026-07-14T16:53:00Z</dcterms:created>
  <dcterms:modified xsi:type="dcterms:W3CDTF">2026-07-14T17:11:00Z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f7f79f10-4926-435f-82fd-1c82a836bf68</vt:lpwstr>
  </property>
</Properties>
</file>