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CB77" w14:textId="77777777" w:rsidR="00600002" w:rsidRPr="00B73464" w:rsidRDefault="00AB02BE" w:rsidP="00C55A02">
      <w:pPr>
        <w:pStyle w:val="CenteredTitle"/>
        <w:spacing w:after="240"/>
        <w:rPr>
          <w:rFonts w:ascii="Times New Roman" w:hAnsi="Times New Roman"/>
        </w:rPr>
      </w:pPr>
      <w:r>
        <w:rPr>
          <w:rFonts w:ascii="Times New Roman" w:hAnsi="Times New Roman"/>
        </w:rPr>
        <w:t>SOFI TECHNOLOGIES, INC.</w:t>
      </w:r>
    </w:p>
    <w:p w14:paraId="479588A4" w14:textId="77777777" w:rsidR="00600002" w:rsidRPr="00C55A02" w:rsidRDefault="00AB02BE" w:rsidP="00C55A02">
      <w:pPr>
        <w:shd w:val="clear" w:color="auto" w:fill="FFFFFF"/>
        <w:spacing w:after="240"/>
        <w:jc w:val="center"/>
        <w:outlineLvl w:val="1"/>
        <w:rPr>
          <w:rFonts w:ascii="Times New Roman" w:eastAsia="Times New Roman" w:hAnsi="Times New Roman" w:cs="Times New Roman"/>
          <w:b/>
          <w:bCs/>
          <w:color w:val="282828"/>
        </w:rPr>
      </w:pPr>
      <w:r w:rsidRPr="00C55A02">
        <w:rPr>
          <w:rFonts w:ascii="Times New Roman" w:eastAsia="Times New Roman" w:hAnsi="Times New Roman" w:cs="Times New Roman"/>
          <w:b/>
          <w:bCs/>
          <w:color w:val="282828"/>
        </w:rPr>
        <w:t>Board of Directors Policy on Related Party Transactions</w:t>
      </w:r>
    </w:p>
    <w:p w14:paraId="14BD04AE" w14:textId="77777777" w:rsidR="00095069" w:rsidRDefault="00095069" w:rsidP="00C55A02">
      <w:pPr>
        <w:pStyle w:val="CenteredTitle"/>
        <w:spacing w:after="240"/>
        <w:rPr>
          <w:rFonts w:ascii="Times New Roman" w:hAnsi="Times New Roman"/>
          <w:bCs/>
        </w:rPr>
      </w:pPr>
      <w:r>
        <w:rPr>
          <w:rFonts w:ascii="Times New Roman" w:hAnsi="Times New Roman"/>
          <w:bCs/>
        </w:rPr>
        <w:t>Adopted and Effective May 28, 2021</w:t>
      </w:r>
    </w:p>
    <w:p w14:paraId="4EA7C442" w14:textId="0B7133D3" w:rsidR="00600002" w:rsidRPr="00C55A02" w:rsidRDefault="00534513" w:rsidP="00C55A02">
      <w:pPr>
        <w:pStyle w:val="CenteredTitle"/>
        <w:spacing w:after="240"/>
        <w:rPr>
          <w:rFonts w:ascii="Times New Roman" w:hAnsi="Times New Roman"/>
          <w:bCs/>
        </w:rPr>
      </w:pPr>
      <w:r w:rsidRPr="00C55A02">
        <w:rPr>
          <w:rFonts w:ascii="Times New Roman" w:hAnsi="Times New Roman"/>
          <w:bCs/>
        </w:rPr>
        <w:t xml:space="preserve">Amended and </w:t>
      </w:r>
      <w:proofErr w:type="gramStart"/>
      <w:r w:rsidR="00095069">
        <w:rPr>
          <w:rFonts w:ascii="Times New Roman" w:hAnsi="Times New Roman"/>
          <w:bCs/>
        </w:rPr>
        <w:t>Restated</w:t>
      </w:r>
      <w:proofErr w:type="gramEnd"/>
      <w:r w:rsidR="00AB02BE" w:rsidRPr="00C55A02">
        <w:rPr>
          <w:rFonts w:ascii="Times New Roman" w:hAnsi="Times New Roman"/>
          <w:bCs/>
        </w:rPr>
        <w:t xml:space="preserve"> as of </w:t>
      </w:r>
      <w:r w:rsidRPr="00C55A02">
        <w:rPr>
          <w:rFonts w:ascii="Times New Roman" w:hAnsi="Times New Roman"/>
          <w:bCs/>
        </w:rPr>
        <w:t xml:space="preserve">July </w:t>
      </w:r>
      <w:r w:rsidR="00E6139D">
        <w:rPr>
          <w:rFonts w:ascii="Times New Roman" w:hAnsi="Times New Roman"/>
          <w:bCs/>
        </w:rPr>
        <w:t>1</w:t>
      </w:r>
      <w:r w:rsidR="00F24516">
        <w:rPr>
          <w:rFonts w:ascii="Times New Roman" w:hAnsi="Times New Roman"/>
          <w:bCs/>
        </w:rPr>
        <w:t>7</w:t>
      </w:r>
      <w:r w:rsidR="00AB02BE" w:rsidRPr="00C55A02">
        <w:rPr>
          <w:rFonts w:ascii="Times New Roman" w:hAnsi="Times New Roman"/>
          <w:bCs/>
        </w:rPr>
        <w:t>, 202</w:t>
      </w:r>
      <w:r w:rsidR="00E6139D">
        <w:rPr>
          <w:rFonts w:ascii="Times New Roman" w:hAnsi="Times New Roman"/>
          <w:bCs/>
        </w:rPr>
        <w:t>5</w:t>
      </w:r>
    </w:p>
    <w:p w14:paraId="2D0363ED" w14:textId="77777777" w:rsidR="00600002" w:rsidRDefault="00AB02BE" w:rsidP="00C55A02">
      <w:pPr>
        <w:spacing w:after="240"/>
        <w:jc w:val="both"/>
        <w:rPr>
          <w:rFonts w:ascii="Times New Roman" w:eastAsia="Times New Roman" w:hAnsi="Times New Roman" w:cs="Times New Roman"/>
          <w:b/>
          <w:bCs/>
        </w:rPr>
      </w:pPr>
      <w:r w:rsidRPr="001A6BD1">
        <w:rPr>
          <w:rFonts w:ascii="Times New Roman" w:eastAsia="Times New Roman" w:hAnsi="Times New Roman" w:cs="Times New Roman"/>
          <w:b/>
          <w:bCs/>
        </w:rPr>
        <w:t xml:space="preserve">Purpose </w:t>
      </w:r>
    </w:p>
    <w:p w14:paraId="5B36F08D" w14:textId="10DDE053" w:rsidR="00600002" w:rsidRDefault="00AB02BE" w:rsidP="00C55A02">
      <w:pPr>
        <w:spacing w:after="240"/>
        <w:jc w:val="both"/>
        <w:rPr>
          <w:rFonts w:ascii="Times New Roman" w:eastAsia="Times New Roman" w:hAnsi="Times New Roman" w:cs="Times New Roman"/>
        </w:rPr>
      </w:pPr>
      <w:r>
        <w:rPr>
          <w:rFonts w:ascii="Times New Roman" w:eastAsia="Times New Roman" w:hAnsi="Times New Roman" w:cs="Times New Roman"/>
        </w:rPr>
        <w:tab/>
      </w:r>
      <w:r w:rsidRPr="001A6BD1">
        <w:rPr>
          <w:rFonts w:ascii="Times New Roman" w:eastAsia="Times New Roman" w:hAnsi="Times New Roman" w:cs="Times New Roman"/>
        </w:rPr>
        <w:t xml:space="preserve">It is the policy of the Board of Directors </w:t>
      </w:r>
      <w:r>
        <w:rPr>
          <w:rFonts w:ascii="Times New Roman" w:eastAsia="Times New Roman" w:hAnsi="Times New Roman" w:cs="Times New Roman"/>
        </w:rPr>
        <w:t>(the “</w:t>
      </w:r>
      <w:r w:rsidRPr="00D25034">
        <w:rPr>
          <w:rFonts w:ascii="Times New Roman" w:eastAsia="Times New Roman" w:hAnsi="Times New Roman" w:cs="Times New Roman"/>
          <w:u w:val="single"/>
        </w:rPr>
        <w:t>Board</w:t>
      </w:r>
      <w:r>
        <w:rPr>
          <w:rFonts w:ascii="Times New Roman" w:eastAsia="Times New Roman" w:hAnsi="Times New Roman" w:cs="Times New Roman"/>
        </w:rPr>
        <w:t xml:space="preserve">”) </w:t>
      </w:r>
      <w:r w:rsidRPr="001A6BD1">
        <w:rPr>
          <w:rFonts w:ascii="Times New Roman" w:eastAsia="Times New Roman" w:hAnsi="Times New Roman" w:cs="Times New Roman"/>
        </w:rPr>
        <w:t xml:space="preserve">of </w:t>
      </w:r>
      <w:r>
        <w:rPr>
          <w:rFonts w:ascii="Times New Roman" w:eastAsia="Times New Roman" w:hAnsi="Times New Roman" w:cs="Times New Roman"/>
        </w:rPr>
        <w:t xml:space="preserve">SoFi Technologies, Inc. </w:t>
      </w:r>
      <w:r w:rsidRPr="001A6BD1">
        <w:rPr>
          <w:rFonts w:ascii="Times New Roman" w:eastAsia="Times New Roman" w:hAnsi="Times New Roman" w:cs="Times New Roman"/>
        </w:rPr>
        <w:t>(the “</w:t>
      </w:r>
      <w:r w:rsidRPr="00D25034">
        <w:rPr>
          <w:rFonts w:ascii="Times New Roman" w:eastAsia="Times New Roman" w:hAnsi="Times New Roman" w:cs="Times New Roman"/>
          <w:u w:val="single"/>
        </w:rPr>
        <w:t>Corporation</w:t>
      </w:r>
      <w:r w:rsidRPr="001A6BD1">
        <w:rPr>
          <w:rFonts w:ascii="Times New Roman" w:eastAsia="Times New Roman" w:hAnsi="Times New Roman" w:cs="Times New Roman"/>
        </w:rPr>
        <w:t xml:space="preserve">”) that all Interested Transactions with Related Parties, as those terms are defined in this </w:t>
      </w:r>
      <w:r>
        <w:rPr>
          <w:rFonts w:ascii="Times New Roman" w:eastAsia="Times New Roman" w:hAnsi="Times New Roman" w:cs="Times New Roman"/>
        </w:rPr>
        <w:t>p</w:t>
      </w:r>
      <w:r w:rsidRPr="001A6BD1">
        <w:rPr>
          <w:rFonts w:ascii="Times New Roman" w:eastAsia="Times New Roman" w:hAnsi="Times New Roman" w:cs="Times New Roman"/>
        </w:rPr>
        <w:t>olicy</w:t>
      </w:r>
      <w:r>
        <w:rPr>
          <w:rFonts w:ascii="Times New Roman" w:eastAsia="Times New Roman" w:hAnsi="Times New Roman" w:cs="Times New Roman"/>
        </w:rPr>
        <w:t xml:space="preserve"> (this “</w:t>
      </w:r>
      <w:r w:rsidRPr="00D25034">
        <w:rPr>
          <w:rFonts w:ascii="Times New Roman" w:eastAsia="Times New Roman" w:hAnsi="Times New Roman" w:cs="Times New Roman"/>
          <w:u w:val="single"/>
        </w:rPr>
        <w:t>Policy</w:t>
      </w:r>
      <w:r>
        <w:rPr>
          <w:rFonts w:ascii="Times New Roman" w:eastAsia="Times New Roman" w:hAnsi="Times New Roman" w:cs="Times New Roman"/>
        </w:rPr>
        <w:t>”)</w:t>
      </w:r>
      <w:r w:rsidRPr="001A6BD1">
        <w:rPr>
          <w:rFonts w:ascii="Times New Roman" w:eastAsia="Times New Roman" w:hAnsi="Times New Roman" w:cs="Times New Roman"/>
        </w:rPr>
        <w:t>, will be at arm’s length and on terms generally available to an unaffiliated third</w:t>
      </w:r>
      <w:r>
        <w:rPr>
          <w:rFonts w:ascii="Times New Roman" w:eastAsia="Times New Roman" w:hAnsi="Times New Roman" w:cs="Times New Roman"/>
        </w:rPr>
        <w:t xml:space="preserve"> </w:t>
      </w:r>
      <w:r w:rsidRPr="001A6BD1">
        <w:rPr>
          <w:rFonts w:ascii="Times New Roman" w:eastAsia="Times New Roman" w:hAnsi="Times New Roman" w:cs="Times New Roman"/>
        </w:rPr>
        <w:t xml:space="preserve">party under the same or similar circumstances. </w:t>
      </w:r>
      <w:r w:rsidR="00723C77">
        <w:rPr>
          <w:rFonts w:ascii="Times New Roman" w:eastAsia="Times New Roman" w:hAnsi="Times New Roman" w:cs="Times New Roman"/>
        </w:rPr>
        <w:t xml:space="preserve">The Board has adopted this Policy as required by </w:t>
      </w:r>
      <w:r w:rsidR="00723C77" w:rsidRPr="00723C77">
        <w:rPr>
          <w:rFonts w:ascii="Times New Roman" w:eastAsia="Times New Roman" w:hAnsi="Times New Roman" w:cs="Times New Roman"/>
        </w:rPr>
        <w:t>Item 404(b) of Regulation S-K of the Securities Act of 1933</w:t>
      </w:r>
      <w:r w:rsidR="00312F31">
        <w:rPr>
          <w:rFonts w:ascii="Times New Roman" w:eastAsia="Times New Roman" w:hAnsi="Times New Roman" w:cs="Times New Roman"/>
        </w:rPr>
        <w:t>, as amended</w:t>
      </w:r>
      <w:r w:rsidR="00723C77" w:rsidRPr="00723C77">
        <w:rPr>
          <w:rFonts w:ascii="Times New Roman" w:eastAsia="Times New Roman" w:hAnsi="Times New Roman" w:cs="Times New Roman"/>
        </w:rPr>
        <w:t xml:space="preserve"> (the “</w:t>
      </w:r>
      <w:r w:rsidR="000203A2" w:rsidRPr="000203A2">
        <w:rPr>
          <w:rFonts w:ascii="Times New Roman" w:eastAsia="Times New Roman" w:hAnsi="Times New Roman" w:cs="Times New Roman"/>
          <w:u w:val="single"/>
        </w:rPr>
        <w:t xml:space="preserve">Securities </w:t>
      </w:r>
      <w:r w:rsidR="00723C77" w:rsidRPr="00723C77">
        <w:rPr>
          <w:rFonts w:ascii="Times New Roman" w:eastAsia="Times New Roman" w:hAnsi="Times New Roman" w:cs="Times New Roman"/>
          <w:u w:val="single"/>
        </w:rPr>
        <w:t>Act</w:t>
      </w:r>
      <w:r w:rsidR="00723C77" w:rsidRPr="00723C77">
        <w:rPr>
          <w:rFonts w:ascii="Times New Roman" w:eastAsia="Times New Roman" w:hAnsi="Times New Roman" w:cs="Times New Roman"/>
        </w:rPr>
        <w:t>”)</w:t>
      </w:r>
      <w:r w:rsidR="00723C77">
        <w:rPr>
          <w:rFonts w:ascii="Times New Roman" w:eastAsia="Times New Roman" w:hAnsi="Times New Roman" w:cs="Times New Roman"/>
        </w:rPr>
        <w:t>.</w:t>
      </w:r>
    </w:p>
    <w:p w14:paraId="42AAAC11" w14:textId="7CD0C049" w:rsidR="00600002" w:rsidRDefault="00AB02BE" w:rsidP="00C55A02">
      <w:pPr>
        <w:spacing w:after="240"/>
        <w:jc w:val="both"/>
        <w:rPr>
          <w:rFonts w:ascii="Times New Roman" w:eastAsia="Times New Roman" w:hAnsi="Times New Roman" w:cs="Times New Roman"/>
        </w:rPr>
      </w:pPr>
      <w:r>
        <w:rPr>
          <w:rFonts w:ascii="Times New Roman" w:eastAsia="Times New Roman" w:hAnsi="Times New Roman" w:cs="Times New Roman"/>
        </w:rPr>
        <w:tab/>
      </w:r>
      <w:r w:rsidRPr="001A6BD1">
        <w:rPr>
          <w:rFonts w:ascii="Times New Roman" w:eastAsia="Times New Roman" w:hAnsi="Times New Roman" w:cs="Times New Roman"/>
        </w:rPr>
        <w:t xml:space="preserve">Except for the limited exceptions set forth in this Policy, </w:t>
      </w:r>
      <w:r>
        <w:rPr>
          <w:rFonts w:ascii="Times New Roman" w:eastAsia="Times New Roman" w:hAnsi="Times New Roman" w:cs="Times New Roman"/>
        </w:rPr>
        <w:t xml:space="preserve">any </w:t>
      </w:r>
      <w:r w:rsidRPr="001A6BD1">
        <w:rPr>
          <w:rFonts w:ascii="Times New Roman" w:eastAsia="Times New Roman" w:hAnsi="Times New Roman" w:cs="Times New Roman"/>
        </w:rPr>
        <w:t>Interested Transaction with Related Parties that will</w:t>
      </w:r>
      <w:r>
        <w:rPr>
          <w:rFonts w:ascii="Times New Roman" w:eastAsia="Times New Roman" w:hAnsi="Times New Roman" w:cs="Times New Roman"/>
        </w:rPr>
        <w:t>, in the aggregate,</w:t>
      </w:r>
      <w:r w:rsidRPr="001A6BD1">
        <w:rPr>
          <w:rFonts w:ascii="Times New Roman" w:eastAsia="Times New Roman" w:hAnsi="Times New Roman" w:cs="Times New Roman"/>
        </w:rPr>
        <w:t xml:space="preserve"> exceed $120,000 in any calendar year must </w:t>
      </w:r>
      <w:r>
        <w:rPr>
          <w:rFonts w:ascii="Times New Roman" w:eastAsia="Times New Roman" w:hAnsi="Times New Roman" w:cs="Times New Roman"/>
        </w:rPr>
        <w:t xml:space="preserve">either </w:t>
      </w:r>
      <w:r w:rsidRPr="001A6BD1">
        <w:rPr>
          <w:rFonts w:ascii="Times New Roman" w:eastAsia="Times New Roman" w:hAnsi="Times New Roman" w:cs="Times New Roman"/>
        </w:rPr>
        <w:t xml:space="preserve">receive approval of the </w:t>
      </w:r>
      <w:r>
        <w:rPr>
          <w:rFonts w:ascii="Times New Roman" w:eastAsia="Times New Roman" w:hAnsi="Times New Roman" w:cs="Times New Roman"/>
        </w:rPr>
        <w:t xml:space="preserve">Nominating &amp; </w:t>
      </w:r>
      <w:r w:rsidR="00534513">
        <w:rPr>
          <w:rFonts w:ascii="Times New Roman" w:eastAsia="Times New Roman" w:hAnsi="Times New Roman" w:cs="Times New Roman"/>
        </w:rPr>
        <w:t xml:space="preserve">Corporate </w:t>
      </w:r>
      <w:r>
        <w:rPr>
          <w:rFonts w:ascii="Times New Roman" w:eastAsia="Times New Roman" w:hAnsi="Times New Roman" w:cs="Times New Roman"/>
        </w:rPr>
        <w:t>Governance</w:t>
      </w:r>
      <w:r w:rsidRPr="001A6BD1">
        <w:rPr>
          <w:rFonts w:ascii="Times New Roman" w:eastAsia="Times New Roman" w:hAnsi="Times New Roman" w:cs="Times New Roman"/>
        </w:rPr>
        <w:t xml:space="preserve"> Committee</w:t>
      </w:r>
      <w:r>
        <w:rPr>
          <w:rFonts w:ascii="Times New Roman" w:eastAsia="Times New Roman" w:hAnsi="Times New Roman" w:cs="Times New Roman"/>
        </w:rPr>
        <w:t xml:space="preserve"> (the “</w:t>
      </w:r>
      <w:r>
        <w:rPr>
          <w:rFonts w:ascii="Times New Roman" w:eastAsia="Times New Roman" w:hAnsi="Times New Roman" w:cs="Times New Roman"/>
          <w:u w:val="single"/>
        </w:rPr>
        <w:t>Nominating &amp; Governance</w:t>
      </w:r>
      <w:r w:rsidRPr="00D25034">
        <w:rPr>
          <w:rFonts w:ascii="Times New Roman" w:eastAsia="Times New Roman" w:hAnsi="Times New Roman" w:cs="Times New Roman"/>
          <w:u w:val="single"/>
        </w:rPr>
        <w:t xml:space="preserve"> Committee</w:t>
      </w:r>
      <w:r>
        <w:rPr>
          <w:rFonts w:ascii="Times New Roman" w:eastAsia="Times New Roman" w:hAnsi="Times New Roman" w:cs="Times New Roman"/>
        </w:rPr>
        <w:t xml:space="preserve">”) of the Board </w:t>
      </w:r>
      <w:r w:rsidRPr="001A6BD1">
        <w:rPr>
          <w:rFonts w:ascii="Times New Roman" w:eastAsia="Times New Roman" w:hAnsi="Times New Roman" w:cs="Times New Roman"/>
        </w:rPr>
        <w:t>prior to the Corporation</w:t>
      </w:r>
      <w:r>
        <w:rPr>
          <w:rFonts w:ascii="Times New Roman" w:eastAsia="Times New Roman" w:hAnsi="Times New Roman" w:cs="Times New Roman"/>
        </w:rPr>
        <w:t xml:space="preserve"> or any of its subsidiaries</w:t>
      </w:r>
      <w:r w:rsidRPr="001A6BD1">
        <w:rPr>
          <w:rFonts w:ascii="Times New Roman" w:eastAsia="Times New Roman" w:hAnsi="Times New Roman" w:cs="Times New Roman"/>
        </w:rPr>
        <w:t xml:space="preserve"> entering into </w:t>
      </w:r>
      <w:r>
        <w:rPr>
          <w:rFonts w:ascii="Times New Roman" w:eastAsia="Times New Roman" w:hAnsi="Times New Roman" w:cs="Times New Roman"/>
        </w:rPr>
        <w:t>such</w:t>
      </w:r>
      <w:r w:rsidRPr="001A6BD1">
        <w:rPr>
          <w:rFonts w:ascii="Times New Roman" w:eastAsia="Times New Roman" w:hAnsi="Times New Roman" w:cs="Times New Roman"/>
        </w:rPr>
        <w:t xml:space="preserve"> Interested Transaction</w:t>
      </w:r>
      <w:r>
        <w:rPr>
          <w:rFonts w:ascii="Times New Roman" w:eastAsia="Times New Roman" w:hAnsi="Times New Roman" w:cs="Times New Roman"/>
        </w:rPr>
        <w:t xml:space="preserve"> or be ratified thereafter by the Nominating &amp; Governance</w:t>
      </w:r>
      <w:r w:rsidRPr="001A6BD1">
        <w:rPr>
          <w:rFonts w:ascii="Times New Roman" w:eastAsia="Times New Roman" w:hAnsi="Times New Roman" w:cs="Times New Roman"/>
        </w:rPr>
        <w:t xml:space="preserve"> Committee</w:t>
      </w:r>
      <w:r>
        <w:rPr>
          <w:rFonts w:ascii="Times New Roman" w:eastAsia="Times New Roman" w:hAnsi="Times New Roman" w:cs="Times New Roman"/>
        </w:rPr>
        <w:t>, in each case in accordance with the terms of this Policy</w:t>
      </w:r>
      <w:r w:rsidRPr="001A6BD1">
        <w:rPr>
          <w:rFonts w:ascii="Times New Roman" w:eastAsia="Times New Roman" w:hAnsi="Times New Roman" w:cs="Times New Roman"/>
        </w:rPr>
        <w:t xml:space="preserve">. </w:t>
      </w:r>
    </w:p>
    <w:p w14:paraId="577A24BE" w14:textId="36378484" w:rsidR="000831C2" w:rsidRPr="000831C2" w:rsidRDefault="000831C2" w:rsidP="00C55A02">
      <w:pPr>
        <w:spacing w:after="240"/>
        <w:jc w:val="both"/>
        <w:rPr>
          <w:rFonts w:ascii="Times New Roman" w:eastAsia="Times New Roman" w:hAnsi="Times New Roman" w:cs="Times New Roman"/>
          <w:b/>
          <w:bCs/>
        </w:rPr>
      </w:pPr>
      <w:r w:rsidRPr="000831C2">
        <w:rPr>
          <w:rFonts w:ascii="Times New Roman" w:eastAsia="Times New Roman" w:hAnsi="Times New Roman" w:cs="Times New Roman"/>
          <w:b/>
          <w:bCs/>
        </w:rPr>
        <w:t>Owner</w:t>
      </w:r>
    </w:p>
    <w:p w14:paraId="645C556B" w14:textId="2A83A28A" w:rsidR="00600002" w:rsidRDefault="00AB02BE" w:rsidP="00C55A02">
      <w:pPr>
        <w:spacing w:after="240"/>
        <w:jc w:val="both"/>
        <w:rPr>
          <w:rFonts w:ascii="Times New Roman" w:eastAsia="Times New Roman" w:hAnsi="Times New Roman" w:cs="Times New Roman"/>
        </w:rPr>
      </w:pPr>
      <w:r w:rsidRPr="00D25034">
        <w:rPr>
          <w:rFonts w:ascii="Times New Roman" w:eastAsia="Times New Roman" w:hAnsi="Times New Roman" w:cs="Times New Roman"/>
        </w:rPr>
        <w:tab/>
        <w:t xml:space="preserve">The </w:t>
      </w:r>
      <w:r w:rsidR="000831C2">
        <w:rPr>
          <w:rFonts w:ascii="Times New Roman" w:eastAsia="Times New Roman" w:hAnsi="Times New Roman" w:cs="Times New Roman"/>
        </w:rPr>
        <w:t xml:space="preserve">Policy was adopted by the Board and the </w:t>
      </w:r>
      <w:r w:rsidRPr="00D25034">
        <w:rPr>
          <w:rFonts w:ascii="Times New Roman" w:eastAsia="Times New Roman" w:hAnsi="Times New Roman" w:cs="Times New Roman"/>
        </w:rPr>
        <w:t>Board reserves the right to amend or rescind this Policy or any portion of it at any time and to adopt different poli</w:t>
      </w:r>
      <w:r>
        <w:rPr>
          <w:rFonts w:ascii="Times New Roman" w:eastAsia="Times New Roman" w:hAnsi="Times New Roman" w:cs="Times New Roman"/>
        </w:rPr>
        <w:t>cies and procedures at any time.</w:t>
      </w:r>
      <w:r w:rsidR="00C55A02">
        <w:rPr>
          <w:rFonts w:ascii="Times New Roman" w:eastAsia="Times New Roman" w:hAnsi="Times New Roman" w:cs="Times New Roman"/>
        </w:rPr>
        <w:t xml:space="preserve"> </w:t>
      </w:r>
      <w:r w:rsidR="007B00AF" w:rsidRPr="000C1D2F">
        <w:rPr>
          <w:rFonts w:ascii="Times New Roman" w:eastAsia="Times New Roman" w:hAnsi="Times New Roman" w:cs="Times New Roman"/>
          <w:color w:val="282828"/>
        </w:rPr>
        <w:t xml:space="preserve">The Corporate Governance team of the Corporation’s Legal Department is responsible </w:t>
      </w:r>
      <w:r w:rsidR="007B00AF">
        <w:rPr>
          <w:rFonts w:ascii="Times New Roman" w:eastAsia="Times New Roman" w:hAnsi="Times New Roman" w:cs="Times New Roman"/>
          <w:color w:val="282828"/>
        </w:rPr>
        <w:t>for</w:t>
      </w:r>
      <w:r w:rsidR="007B00AF" w:rsidRPr="000C1D2F">
        <w:rPr>
          <w:rFonts w:ascii="Times New Roman" w:eastAsia="Times New Roman" w:hAnsi="Times New Roman" w:cs="Times New Roman"/>
          <w:color w:val="282828"/>
        </w:rPr>
        <w:t xml:space="preserve"> proposing updates to this Policy, as needed. </w:t>
      </w:r>
      <w:r>
        <w:rPr>
          <w:rFonts w:ascii="Times New Roman" w:eastAsia="Times New Roman" w:hAnsi="Times New Roman" w:cs="Times New Roman"/>
        </w:rPr>
        <w:t xml:space="preserve">All questions regarding this </w:t>
      </w:r>
      <w:r w:rsidR="003251AD">
        <w:rPr>
          <w:rFonts w:ascii="Times New Roman" w:eastAsia="Times New Roman" w:hAnsi="Times New Roman" w:cs="Times New Roman"/>
        </w:rPr>
        <w:t>P</w:t>
      </w:r>
      <w:r>
        <w:rPr>
          <w:rFonts w:ascii="Times New Roman" w:eastAsia="Times New Roman" w:hAnsi="Times New Roman" w:cs="Times New Roman"/>
        </w:rPr>
        <w:t xml:space="preserve">olicy </w:t>
      </w:r>
      <w:r w:rsidR="000831C2">
        <w:rPr>
          <w:rFonts w:ascii="Times New Roman" w:eastAsia="Times New Roman" w:hAnsi="Times New Roman" w:cs="Times New Roman"/>
        </w:rPr>
        <w:t xml:space="preserve">and/or its application </w:t>
      </w:r>
      <w:r>
        <w:rPr>
          <w:rFonts w:ascii="Times New Roman" w:eastAsia="Times New Roman" w:hAnsi="Times New Roman" w:cs="Times New Roman"/>
        </w:rPr>
        <w:t xml:space="preserve">should be directed to the General Counsel of the Corporation. </w:t>
      </w:r>
      <w:r w:rsidR="005C40C9" w:rsidRPr="00EF3921">
        <w:rPr>
          <w:rFonts w:ascii="Times New Roman" w:eastAsia="Times New Roman" w:hAnsi="Times New Roman" w:cs="Times New Roman"/>
          <w:color w:val="282828"/>
        </w:rPr>
        <w:t>The Board expects to review th</w:t>
      </w:r>
      <w:r w:rsidR="005C40C9">
        <w:rPr>
          <w:rFonts w:ascii="Times New Roman" w:eastAsia="Times New Roman" w:hAnsi="Times New Roman" w:cs="Times New Roman"/>
          <w:color w:val="282828"/>
        </w:rPr>
        <w:t>is Policy</w:t>
      </w:r>
      <w:r w:rsidR="005C40C9" w:rsidRPr="00EF3921">
        <w:rPr>
          <w:rFonts w:ascii="Times New Roman" w:eastAsia="Times New Roman" w:hAnsi="Times New Roman" w:cs="Times New Roman"/>
          <w:color w:val="282828"/>
        </w:rPr>
        <w:t xml:space="preserve"> annually.</w:t>
      </w:r>
    </w:p>
    <w:p w14:paraId="23744C22" w14:textId="77777777" w:rsidR="00600002" w:rsidRDefault="00AB02BE" w:rsidP="00C55A02">
      <w:pPr>
        <w:spacing w:after="240"/>
        <w:jc w:val="both"/>
        <w:rPr>
          <w:rFonts w:ascii="Times New Roman" w:eastAsia="Times New Roman" w:hAnsi="Times New Roman" w:cs="Times New Roman"/>
          <w:b/>
          <w:bCs/>
        </w:rPr>
      </w:pPr>
      <w:r>
        <w:rPr>
          <w:rFonts w:ascii="Times New Roman" w:eastAsia="Times New Roman" w:hAnsi="Times New Roman" w:cs="Times New Roman"/>
          <w:b/>
          <w:bCs/>
        </w:rPr>
        <w:t>Definitions</w:t>
      </w:r>
    </w:p>
    <w:p w14:paraId="7C56347E" w14:textId="34F57FD5" w:rsidR="00600002" w:rsidRDefault="00AB02BE" w:rsidP="00C55A02">
      <w:pPr>
        <w:spacing w:after="240"/>
        <w:jc w:val="both"/>
        <w:rPr>
          <w:rFonts w:ascii="Times New Roman" w:eastAsia="Times New Roman" w:hAnsi="Times New Roman" w:cs="Times New Roman"/>
        </w:rPr>
      </w:pPr>
      <w:r>
        <w:rPr>
          <w:rFonts w:ascii="Times New Roman" w:eastAsia="Times New Roman" w:hAnsi="Times New Roman" w:cs="Times New Roman"/>
          <w:bCs/>
        </w:rPr>
        <w:tab/>
      </w:r>
      <w:r w:rsidRPr="00D25034">
        <w:rPr>
          <w:rFonts w:ascii="Times New Roman" w:eastAsia="Times New Roman" w:hAnsi="Times New Roman" w:cs="Times New Roman"/>
          <w:bCs/>
        </w:rPr>
        <w:t>“</w:t>
      </w:r>
      <w:r w:rsidRPr="00C111FF">
        <w:rPr>
          <w:rFonts w:ascii="Times New Roman" w:eastAsia="Times New Roman" w:hAnsi="Times New Roman" w:cs="Times New Roman"/>
          <w:bCs/>
          <w:u w:val="single"/>
        </w:rPr>
        <w:t>Interested Transaction</w:t>
      </w:r>
      <w:r w:rsidRPr="00D25034">
        <w:rPr>
          <w:rFonts w:ascii="Times New Roman" w:eastAsia="Times New Roman" w:hAnsi="Times New Roman" w:cs="Times New Roman"/>
          <w:bCs/>
        </w:rPr>
        <w:t xml:space="preserve">” means </w:t>
      </w:r>
      <w:r w:rsidRPr="00096C3C">
        <w:rPr>
          <w:rFonts w:ascii="Times New Roman" w:eastAsia="Times New Roman" w:hAnsi="Times New Roman" w:cs="Times New Roman"/>
        </w:rPr>
        <w:t>any</w:t>
      </w:r>
      <w:r w:rsidRPr="001A6BD1">
        <w:rPr>
          <w:rFonts w:ascii="Times New Roman" w:eastAsia="Times New Roman" w:hAnsi="Times New Roman" w:cs="Times New Roman"/>
        </w:rPr>
        <w:t xml:space="preserve"> transaction</w:t>
      </w:r>
      <w:r>
        <w:rPr>
          <w:rFonts w:ascii="Times New Roman" w:eastAsia="Times New Roman" w:hAnsi="Times New Roman" w:cs="Times New Roman"/>
        </w:rPr>
        <w:t>, arrangement or relationship,</w:t>
      </w:r>
      <w:r w:rsidRPr="001A6BD1">
        <w:rPr>
          <w:rFonts w:ascii="Times New Roman" w:eastAsia="Times New Roman" w:hAnsi="Times New Roman" w:cs="Times New Roman"/>
        </w:rPr>
        <w:t xml:space="preserve"> or series of </w:t>
      </w:r>
      <w:r>
        <w:rPr>
          <w:rFonts w:ascii="Times New Roman" w:eastAsia="Times New Roman" w:hAnsi="Times New Roman" w:cs="Times New Roman"/>
        </w:rPr>
        <w:t>similar</w:t>
      </w:r>
      <w:r w:rsidRPr="001A6BD1">
        <w:rPr>
          <w:rFonts w:ascii="Times New Roman" w:eastAsia="Times New Roman" w:hAnsi="Times New Roman" w:cs="Times New Roman"/>
        </w:rPr>
        <w:t xml:space="preserve"> transactions</w:t>
      </w:r>
      <w:r>
        <w:rPr>
          <w:rFonts w:ascii="Times New Roman" w:eastAsia="Times New Roman" w:hAnsi="Times New Roman" w:cs="Times New Roman"/>
        </w:rPr>
        <w:t>, arrangements or relationships,</w:t>
      </w:r>
      <w:r w:rsidRPr="001A6BD1">
        <w:rPr>
          <w:rFonts w:ascii="Times New Roman" w:eastAsia="Times New Roman" w:hAnsi="Times New Roman" w:cs="Times New Roman"/>
        </w:rPr>
        <w:t xml:space="preserve"> in which </w:t>
      </w:r>
      <w:r>
        <w:rPr>
          <w:rFonts w:ascii="Times New Roman" w:eastAsia="Times New Roman" w:hAnsi="Times New Roman" w:cs="Times New Roman"/>
        </w:rPr>
        <w:t xml:space="preserve">(i) the amount involved will or may reasonably be expected to exceed $120,000 in any calendar year, (ii) </w:t>
      </w:r>
      <w:r w:rsidRPr="001A6BD1">
        <w:rPr>
          <w:rFonts w:ascii="Times New Roman" w:eastAsia="Times New Roman" w:hAnsi="Times New Roman" w:cs="Times New Roman"/>
        </w:rPr>
        <w:t xml:space="preserve">the Corporation </w:t>
      </w:r>
      <w:r>
        <w:rPr>
          <w:rFonts w:ascii="Times New Roman" w:eastAsia="Times New Roman" w:hAnsi="Times New Roman" w:cs="Times New Roman"/>
        </w:rPr>
        <w:t xml:space="preserve">or any of its subsidiaries </w:t>
      </w:r>
      <w:r w:rsidRPr="001A6BD1">
        <w:rPr>
          <w:rFonts w:ascii="Times New Roman" w:eastAsia="Times New Roman" w:hAnsi="Times New Roman" w:cs="Times New Roman"/>
        </w:rPr>
        <w:t xml:space="preserve">is a participant and </w:t>
      </w:r>
      <w:r>
        <w:rPr>
          <w:rFonts w:ascii="Times New Roman" w:eastAsia="Times New Roman" w:hAnsi="Times New Roman" w:cs="Times New Roman"/>
        </w:rPr>
        <w:t xml:space="preserve">(iii) </w:t>
      </w:r>
      <w:r w:rsidRPr="001A6BD1">
        <w:rPr>
          <w:rFonts w:ascii="Times New Roman" w:eastAsia="Times New Roman" w:hAnsi="Times New Roman" w:cs="Times New Roman"/>
        </w:rPr>
        <w:t xml:space="preserve">any Related Party has or will have a direct or indirect </w:t>
      </w:r>
      <w:r>
        <w:rPr>
          <w:rFonts w:ascii="Times New Roman" w:eastAsia="Times New Roman" w:hAnsi="Times New Roman" w:cs="Times New Roman"/>
        </w:rPr>
        <w:t xml:space="preserve">material </w:t>
      </w:r>
      <w:r w:rsidRPr="001A6BD1">
        <w:rPr>
          <w:rFonts w:ascii="Times New Roman" w:eastAsia="Times New Roman" w:hAnsi="Times New Roman" w:cs="Times New Roman"/>
        </w:rPr>
        <w:t>interest (other than solely as a result of being a director</w:t>
      </w:r>
      <w:r>
        <w:rPr>
          <w:rFonts w:ascii="Times New Roman" w:eastAsia="Times New Roman" w:hAnsi="Times New Roman" w:cs="Times New Roman"/>
        </w:rPr>
        <w:t>, officer</w:t>
      </w:r>
      <w:r w:rsidRPr="001A6BD1">
        <w:rPr>
          <w:rFonts w:ascii="Times New Roman" w:eastAsia="Times New Roman" w:hAnsi="Times New Roman" w:cs="Times New Roman"/>
        </w:rPr>
        <w:t xml:space="preserve"> or a less than </w:t>
      </w:r>
      <w:r w:rsidR="00E969D7">
        <w:rPr>
          <w:rFonts w:ascii="Times New Roman" w:eastAsia="Times New Roman" w:hAnsi="Times New Roman" w:cs="Times New Roman"/>
        </w:rPr>
        <w:t>5</w:t>
      </w:r>
      <w:r w:rsidRPr="001A6BD1">
        <w:rPr>
          <w:rFonts w:ascii="Times New Roman" w:eastAsia="Times New Roman" w:hAnsi="Times New Roman" w:cs="Times New Roman"/>
        </w:rPr>
        <w:t xml:space="preserve"> percent</w:t>
      </w:r>
      <w:r>
        <w:rPr>
          <w:rFonts w:ascii="Times New Roman" w:eastAsia="Times New Roman" w:hAnsi="Times New Roman" w:cs="Times New Roman"/>
        </w:rPr>
        <w:t xml:space="preserve"> (</w:t>
      </w:r>
      <w:r w:rsidR="00E969D7">
        <w:rPr>
          <w:rFonts w:ascii="Times New Roman" w:eastAsia="Times New Roman" w:hAnsi="Times New Roman" w:cs="Times New Roman"/>
        </w:rPr>
        <w:t>5</w:t>
      </w:r>
      <w:r>
        <w:rPr>
          <w:rFonts w:ascii="Times New Roman" w:eastAsia="Times New Roman" w:hAnsi="Times New Roman" w:cs="Times New Roman"/>
        </w:rPr>
        <w:t>%)</w:t>
      </w:r>
      <w:r w:rsidRPr="001A6BD1">
        <w:rPr>
          <w:rFonts w:ascii="Times New Roman" w:eastAsia="Times New Roman" w:hAnsi="Times New Roman" w:cs="Times New Roman"/>
        </w:rPr>
        <w:t xml:space="preserve"> beneficial owner of another entity).</w:t>
      </w:r>
    </w:p>
    <w:p w14:paraId="416DD780" w14:textId="5C581A49" w:rsidR="00600002" w:rsidRDefault="00AB02BE" w:rsidP="00C55A02">
      <w:pPr>
        <w:spacing w:after="240"/>
        <w:jc w:val="both"/>
        <w:rPr>
          <w:rFonts w:ascii="Times New Roman" w:eastAsia="Times New Roman" w:hAnsi="Times New Roman" w:cs="Times New Roman"/>
          <w:b/>
          <w:bCs/>
        </w:rPr>
      </w:pPr>
      <w:r>
        <w:rPr>
          <w:rFonts w:ascii="Times New Roman" w:eastAsia="Times New Roman" w:hAnsi="Times New Roman" w:cs="Times New Roman"/>
        </w:rPr>
        <w:tab/>
        <w:t>“</w:t>
      </w:r>
      <w:r w:rsidRPr="00C111FF">
        <w:rPr>
          <w:rFonts w:ascii="Times New Roman" w:eastAsia="Times New Roman" w:hAnsi="Times New Roman" w:cs="Times New Roman"/>
          <w:u w:val="single"/>
        </w:rPr>
        <w:t>Related Party</w:t>
      </w:r>
      <w:r>
        <w:rPr>
          <w:rFonts w:ascii="Times New Roman" w:eastAsia="Times New Roman" w:hAnsi="Times New Roman" w:cs="Times New Roman"/>
        </w:rPr>
        <w:t>” means a</w:t>
      </w:r>
      <w:r w:rsidRPr="001A6BD1">
        <w:rPr>
          <w:rFonts w:ascii="Times New Roman" w:eastAsia="Times New Roman" w:hAnsi="Times New Roman" w:cs="Times New Roman"/>
        </w:rPr>
        <w:t xml:space="preserve">ny </w:t>
      </w:r>
      <w:r>
        <w:rPr>
          <w:rFonts w:ascii="Times New Roman" w:eastAsia="Times New Roman" w:hAnsi="Times New Roman" w:cs="Times New Roman"/>
        </w:rPr>
        <w:t xml:space="preserve">(i) executive officer, director or </w:t>
      </w:r>
      <w:r w:rsidRPr="001A6BD1">
        <w:rPr>
          <w:rFonts w:ascii="Times New Roman" w:eastAsia="Times New Roman" w:hAnsi="Times New Roman" w:cs="Times New Roman"/>
        </w:rPr>
        <w:t>nominee for electi</w:t>
      </w:r>
      <w:r>
        <w:rPr>
          <w:rFonts w:ascii="Times New Roman" w:eastAsia="Times New Roman" w:hAnsi="Times New Roman" w:cs="Times New Roman"/>
        </w:rPr>
        <w:t xml:space="preserve">on as a director of the Corporation or any of its subsidiaries, (ii) </w:t>
      </w:r>
      <w:r w:rsidR="00723B68">
        <w:rPr>
          <w:rFonts w:ascii="Times New Roman" w:eastAsia="Times New Roman" w:hAnsi="Times New Roman" w:cs="Times New Roman"/>
        </w:rPr>
        <w:t xml:space="preserve">beneficial </w:t>
      </w:r>
      <w:r w:rsidR="00BA6173">
        <w:rPr>
          <w:rFonts w:ascii="Times New Roman" w:eastAsia="Times New Roman" w:hAnsi="Times New Roman" w:cs="Times New Roman"/>
        </w:rPr>
        <w:t xml:space="preserve">owner of </w:t>
      </w:r>
      <w:r>
        <w:rPr>
          <w:rFonts w:ascii="Times New Roman" w:eastAsia="Times New Roman" w:hAnsi="Times New Roman" w:cs="Times New Roman"/>
        </w:rPr>
        <w:t>greater than five</w:t>
      </w:r>
      <w:r w:rsidRPr="001A6BD1">
        <w:rPr>
          <w:rFonts w:ascii="Times New Roman" w:eastAsia="Times New Roman" w:hAnsi="Times New Roman" w:cs="Times New Roman"/>
        </w:rPr>
        <w:t xml:space="preserve"> percent</w:t>
      </w:r>
      <w:r>
        <w:rPr>
          <w:rFonts w:ascii="Times New Roman" w:eastAsia="Times New Roman" w:hAnsi="Times New Roman" w:cs="Times New Roman"/>
        </w:rPr>
        <w:t xml:space="preserve"> (5%)</w:t>
      </w:r>
      <w:r w:rsidRPr="001A6BD1">
        <w:rPr>
          <w:rFonts w:ascii="Times New Roman" w:eastAsia="Times New Roman" w:hAnsi="Times New Roman" w:cs="Times New Roman"/>
        </w:rPr>
        <w:t xml:space="preserve"> of</w:t>
      </w:r>
      <w:r>
        <w:rPr>
          <w:rFonts w:ascii="Times New Roman" w:eastAsia="Times New Roman" w:hAnsi="Times New Roman" w:cs="Times New Roman"/>
        </w:rPr>
        <w:t xml:space="preserve"> the Corporation’s common stock</w:t>
      </w:r>
      <w:r w:rsidRPr="001A6BD1">
        <w:rPr>
          <w:rFonts w:ascii="Times New Roman" w:eastAsia="Times New Roman" w:hAnsi="Times New Roman" w:cs="Times New Roman"/>
        </w:rPr>
        <w:t xml:space="preserve"> or</w:t>
      </w:r>
      <w:r>
        <w:rPr>
          <w:rFonts w:ascii="Times New Roman" w:eastAsia="Times New Roman" w:hAnsi="Times New Roman" w:cs="Times New Roman"/>
        </w:rPr>
        <w:t xml:space="preserve"> (iii)</w:t>
      </w:r>
      <w:r w:rsidRPr="001A6BD1">
        <w:rPr>
          <w:rFonts w:ascii="Times New Roman" w:eastAsia="Times New Roman" w:hAnsi="Times New Roman" w:cs="Times New Roman"/>
        </w:rPr>
        <w:t xml:space="preserve"> immediate family member of any of the foregoing persons</w:t>
      </w:r>
      <w:r>
        <w:rPr>
          <w:rFonts w:ascii="Times New Roman" w:eastAsia="Times New Roman" w:hAnsi="Times New Roman" w:cs="Times New Roman"/>
        </w:rPr>
        <w:t xml:space="preserve"> or entities</w:t>
      </w:r>
      <w:r w:rsidRPr="001A6BD1">
        <w:rPr>
          <w:rFonts w:ascii="Times New Roman" w:eastAsia="Times New Roman" w:hAnsi="Times New Roman" w:cs="Times New Roman"/>
        </w:rPr>
        <w:t xml:space="preserve">. </w:t>
      </w:r>
      <w:r w:rsidR="00FB5AEA">
        <w:rPr>
          <w:rFonts w:ascii="Times New Roman" w:eastAsia="Times New Roman" w:hAnsi="Times New Roman" w:cs="Times New Roman"/>
        </w:rPr>
        <w:t>“</w:t>
      </w:r>
      <w:r w:rsidRPr="00425736">
        <w:rPr>
          <w:rFonts w:ascii="Times New Roman" w:eastAsia="Times New Roman" w:hAnsi="Times New Roman" w:cs="Times New Roman"/>
          <w:u w:val="single"/>
        </w:rPr>
        <w:t>Immediate family members</w:t>
      </w:r>
      <w:r w:rsidR="00FB5AEA" w:rsidRPr="00280E4D">
        <w:rPr>
          <w:rFonts w:ascii="Times New Roman" w:eastAsia="Times New Roman" w:hAnsi="Times New Roman" w:cs="Times New Roman"/>
        </w:rPr>
        <w:t>”</w:t>
      </w:r>
      <w:r>
        <w:rPr>
          <w:rFonts w:ascii="Times New Roman" w:eastAsia="Times New Roman" w:hAnsi="Times New Roman" w:cs="Times New Roman"/>
        </w:rPr>
        <w:t xml:space="preserve"> include</w:t>
      </w:r>
      <w:r w:rsidRPr="001A6BD1">
        <w:rPr>
          <w:rFonts w:ascii="Times New Roman" w:eastAsia="Times New Roman" w:hAnsi="Times New Roman" w:cs="Times New Roman"/>
        </w:rPr>
        <w:t xml:space="preserve"> a person’s spouse, parents, </w:t>
      </w:r>
      <w:proofErr w:type="gramStart"/>
      <w:r w:rsidRPr="001A6BD1">
        <w:rPr>
          <w:rFonts w:ascii="Times New Roman" w:eastAsia="Times New Roman" w:hAnsi="Times New Roman" w:cs="Times New Roman"/>
        </w:rPr>
        <w:t>step</w:t>
      </w:r>
      <w:r>
        <w:rPr>
          <w:rFonts w:ascii="Times New Roman" w:eastAsia="Times New Roman" w:hAnsi="Times New Roman" w:cs="Times New Roman"/>
        </w:rPr>
        <w:t>-</w:t>
      </w:r>
      <w:r w:rsidRPr="001A6BD1">
        <w:rPr>
          <w:rFonts w:ascii="Times New Roman" w:eastAsia="Times New Roman" w:hAnsi="Times New Roman" w:cs="Times New Roman"/>
        </w:rPr>
        <w:t>parents</w:t>
      </w:r>
      <w:proofErr w:type="gramEnd"/>
      <w:r w:rsidRPr="001A6BD1">
        <w:rPr>
          <w:rFonts w:ascii="Times New Roman" w:eastAsia="Times New Roman" w:hAnsi="Times New Roman" w:cs="Times New Roman"/>
        </w:rPr>
        <w:t xml:space="preserve">, children, </w:t>
      </w:r>
      <w:proofErr w:type="gramStart"/>
      <w:r w:rsidRPr="001A6BD1">
        <w:rPr>
          <w:rFonts w:ascii="Times New Roman" w:eastAsia="Times New Roman" w:hAnsi="Times New Roman" w:cs="Times New Roman"/>
        </w:rPr>
        <w:t>step</w:t>
      </w:r>
      <w:r>
        <w:rPr>
          <w:rFonts w:ascii="Times New Roman" w:eastAsia="Times New Roman" w:hAnsi="Times New Roman" w:cs="Times New Roman"/>
        </w:rPr>
        <w:t>-</w:t>
      </w:r>
      <w:r w:rsidRPr="001A6BD1">
        <w:rPr>
          <w:rFonts w:ascii="Times New Roman" w:eastAsia="Times New Roman" w:hAnsi="Times New Roman" w:cs="Times New Roman"/>
        </w:rPr>
        <w:t>children</w:t>
      </w:r>
      <w:proofErr w:type="gramEnd"/>
      <w:r w:rsidRPr="001A6BD1">
        <w:rPr>
          <w:rFonts w:ascii="Times New Roman" w:eastAsia="Times New Roman" w:hAnsi="Times New Roman" w:cs="Times New Roman"/>
        </w:rPr>
        <w:t>, siblings, mothers- and fathers-in</w:t>
      </w:r>
      <w:r>
        <w:rPr>
          <w:rFonts w:ascii="Times New Roman" w:eastAsia="Times New Roman" w:hAnsi="Times New Roman" w:cs="Times New Roman"/>
        </w:rPr>
        <w:t xml:space="preserve">-law, sons- and daughters-in-law, </w:t>
      </w:r>
      <w:r w:rsidRPr="001A6BD1">
        <w:rPr>
          <w:rFonts w:ascii="Times New Roman" w:eastAsia="Times New Roman" w:hAnsi="Times New Roman" w:cs="Times New Roman"/>
        </w:rPr>
        <w:t xml:space="preserve">brothers- and sisters-in-law and anyone residing in </w:t>
      </w:r>
      <w:r>
        <w:rPr>
          <w:rFonts w:ascii="Times New Roman" w:eastAsia="Times New Roman" w:hAnsi="Times New Roman" w:cs="Times New Roman"/>
        </w:rPr>
        <w:t xml:space="preserve">any </w:t>
      </w:r>
      <w:r w:rsidRPr="001A6BD1">
        <w:rPr>
          <w:rFonts w:ascii="Times New Roman" w:eastAsia="Times New Roman" w:hAnsi="Times New Roman" w:cs="Times New Roman"/>
        </w:rPr>
        <w:t xml:space="preserve">such person’s home (other than a </w:t>
      </w:r>
      <w:r w:rsidRPr="001A6BD1">
        <w:rPr>
          <w:rFonts w:ascii="Times New Roman" w:eastAsia="Times New Roman" w:hAnsi="Times New Roman" w:cs="Times New Roman"/>
        </w:rPr>
        <w:lastRenderedPageBreak/>
        <w:t>tenant or employee</w:t>
      </w:r>
      <w:r>
        <w:rPr>
          <w:rFonts w:ascii="Times New Roman" w:eastAsia="Times New Roman" w:hAnsi="Times New Roman" w:cs="Times New Roman"/>
        </w:rPr>
        <w:t xml:space="preserve"> of any such person</w:t>
      </w:r>
      <w:r w:rsidRPr="001A6BD1">
        <w:rPr>
          <w:rFonts w:ascii="Times New Roman" w:eastAsia="Times New Roman" w:hAnsi="Times New Roman" w:cs="Times New Roman"/>
        </w:rPr>
        <w:t>).</w:t>
      </w:r>
      <w:r w:rsidR="00534513">
        <w:rPr>
          <w:rFonts w:ascii="Times New Roman" w:eastAsia="Times New Roman" w:hAnsi="Times New Roman" w:cs="Times New Roman"/>
        </w:rPr>
        <w:t xml:space="preserve"> A Related Party shall include any person who was in any of the above categories at any time during the </w:t>
      </w:r>
      <w:r w:rsidR="005410CD">
        <w:rPr>
          <w:rFonts w:ascii="Times New Roman" w:eastAsia="Times New Roman" w:hAnsi="Times New Roman" w:cs="Times New Roman"/>
        </w:rPr>
        <w:t>fiscal year in which the related</w:t>
      </w:r>
      <w:r w:rsidR="00534513">
        <w:rPr>
          <w:rFonts w:ascii="Times New Roman" w:eastAsia="Times New Roman" w:hAnsi="Times New Roman" w:cs="Times New Roman"/>
        </w:rPr>
        <w:t xml:space="preserve"> Interested Transaction</w:t>
      </w:r>
      <w:r w:rsidR="005410CD">
        <w:rPr>
          <w:rFonts w:ascii="Times New Roman" w:eastAsia="Times New Roman" w:hAnsi="Times New Roman" w:cs="Times New Roman"/>
        </w:rPr>
        <w:t xml:space="preserve"> occurs</w:t>
      </w:r>
      <w:r w:rsidR="00534513">
        <w:rPr>
          <w:rFonts w:ascii="Times New Roman" w:eastAsia="Times New Roman" w:hAnsi="Times New Roman" w:cs="Times New Roman"/>
        </w:rPr>
        <w:t>.</w:t>
      </w:r>
    </w:p>
    <w:p w14:paraId="13BDD69F" w14:textId="77777777" w:rsidR="00600002" w:rsidRDefault="00AB02BE" w:rsidP="00C55A02">
      <w:pPr>
        <w:keepNext/>
        <w:keepLines/>
        <w:spacing w:after="240"/>
        <w:jc w:val="both"/>
        <w:rPr>
          <w:rFonts w:ascii="Times New Roman" w:eastAsia="Times New Roman" w:hAnsi="Times New Roman" w:cs="Times New Roman"/>
        </w:rPr>
      </w:pPr>
      <w:r w:rsidRPr="001A6BD1">
        <w:rPr>
          <w:rFonts w:ascii="Times New Roman" w:eastAsia="Times New Roman" w:hAnsi="Times New Roman" w:cs="Times New Roman"/>
          <w:b/>
          <w:bCs/>
        </w:rPr>
        <w:t>Policy</w:t>
      </w:r>
      <w:r w:rsidRPr="001A6BD1">
        <w:rPr>
          <w:rFonts w:ascii="Times New Roman" w:eastAsia="Times New Roman" w:hAnsi="Times New Roman" w:cs="Times New Roman"/>
        </w:rPr>
        <w:t xml:space="preserve"> </w:t>
      </w:r>
    </w:p>
    <w:p w14:paraId="356FDB53" w14:textId="77777777" w:rsidR="00600002" w:rsidRDefault="00AB02BE" w:rsidP="00C55A02">
      <w:pPr>
        <w:keepNext/>
        <w:keepLines/>
        <w:spacing w:after="240"/>
        <w:jc w:val="both"/>
        <w:rPr>
          <w:rFonts w:ascii="Times New Roman" w:eastAsia="Times New Roman" w:hAnsi="Times New Roman" w:cs="Times New Roman"/>
        </w:rPr>
      </w:pPr>
      <w:r w:rsidRPr="001A6BD1">
        <w:rPr>
          <w:rFonts w:ascii="Times New Roman" w:eastAsia="Times New Roman" w:hAnsi="Times New Roman" w:cs="Times New Roman"/>
          <w:i/>
          <w:iCs/>
        </w:rPr>
        <w:t>Procedure</w:t>
      </w:r>
      <w:r w:rsidRPr="001A6BD1">
        <w:rPr>
          <w:rFonts w:ascii="Times New Roman" w:eastAsia="Times New Roman" w:hAnsi="Times New Roman" w:cs="Times New Roman"/>
        </w:rPr>
        <w:t xml:space="preserve"> </w:t>
      </w:r>
    </w:p>
    <w:p w14:paraId="1F72FFB6" w14:textId="2CBE7407" w:rsidR="00600002" w:rsidRDefault="00AB02BE" w:rsidP="00C55A02">
      <w:pPr>
        <w:keepNext/>
        <w:keepLines/>
        <w:spacing w:after="240"/>
        <w:jc w:val="both"/>
        <w:rPr>
          <w:rFonts w:ascii="Times New Roman" w:eastAsia="Times New Roman" w:hAnsi="Times New Roman" w:cs="Times New Roman"/>
        </w:rPr>
      </w:pPr>
      <w:r>
        <w:rPr>
          <w:rFonts w:ascii="Times New Roman" w:eastAsia="Times New Roman" w:hAnsi="Times New Roman" w:cs="Times New Roman"/>
        </w:rPr>
        <w:tab/>
      </w:r>
      <w:r w:rsidRPr="001A6BD1">
        <w:rPr>
          <w:rFonts w:ascii="Times New Roman" w:eastAsia="Times New Roman" w:hAnsi="Times New Roman" w:cs="Times New Roman"/>
        </w:rPr>
        <w:t xml:space="preserve">A </w:t>
      </w:r>
      <w:r w:rsidRPr="0049142A">
        <w:rPr>
          <w:rFonts w:ascii="Times New Roman" w:eastAsia="Times New Roman" w:hAnsi="Times New Roman" w:cs="Times New Roman"/>
        </w:rPr>
        <w:t>Related Party</w:t>
      </w:r>
      <w:r w:rsidRPr="001A6BD1">
        <w:rPr>
          <w:rFonts w:ascii="Times New Roman" w:eastAsia="Times New Roman" w:hAnsi="Times New Roman" w:cs="Times New Roman"/>
        </w:rPr>
        <w:t xml:space="preserve"> must promptly notify the </w:t>
      </w:r>
      <w:r>
        <w:rPr>
          <w:rFonts w:ascii="Times New Roman" w:eastAsia="Times New Roman" w:hAnsi="Times New Roman" w:cs="Times New Roman"/>
        </w:rPr>
        <w:t xml:space="preserve">General Counsel </w:t>
      </w:r>
      <w:r w:rsidRPr="001A6BD1">
        <w:rPr>
          <w:rFonts w:ascii="Times New Roman" w:eastAsia="Times New Roman" w:hAnsi="Times New Roman" w:cs="Times New Roman"/>
        </w:rPr>
        <w:t xml:space="preserve">of any material interest that </w:t>
      </w:r>
      <w:r>
        <w:rPr>
          <w:rFonts w:ascii="Times New Roman" w:eastAsia="Times New Roman" w:hAnsi="Times New Roman" w:cs="Times New Roman"/>
        </w:rPr>
        <w:t>such</w:t>
      </w:r>
      <w:r w:rsidRPr="001A6BD1">
        <w:rPr>
          <w:rFonts w:ascii="Times New Roman" w:eastAsia="Times New Roman" w:hAnsi="Times New Roman" w:cs="Times New Roman"/>
        </w:rPr>
        <w:t xml:space="preserve"> Related Party may have in a</w:t>
      </w:r>
      <w:r>
        <w:rPr>
          <w:rFonts w:ascii="Times New Roman" w:eastAsia="Times New Roman" w:hAnsi="Times New Roman" w:cs="Times New Roman"/>
        </w:rPr>
        <w:t>ny</w:t>
      </w:r>
      <w:r w:rsidRPr="001A6BD1">
        <w:rPr>
          <w:rFonts w:ascii="Times New Roman" w:eastAsia="Times New Roman" w:hAnsi="Times New Roman" w:cs="Times New Roman"/>
        </w:rPr>
        <w:t xml:space="preserve"> proposed </w:t>
      </w:r>
      <w:r w:rsidRPr="0049142A">
        <w:rPr>
          <w:rFonts w:ascii="Times New Roman" w:eastAsia="Times New Roman" w:hAnsi="Times New Roman" w:cs="Times New Roman"/>
        </w:rPr>
        <w:t>Interested Transaction</w:t>
      </w:r>
      <w:r w:rsidRPr="001A6BD1">
        <w:rPr>
          <w:rFonts w:ascii="Times New Roman" w:eastAsia="Times New Roman" w:hAnsi="Times New Roman" w:cs="Times New Roman"/>
        </w:rPr>
        <w:t xml:space="preserve">. The </w:t>
      </w:r>
      <w:r>
        <w:rPr>
          <w:rFonts w:ascii="Times New Roman" w:eastAsia="Times New Roman" w:hAnsi="Times New Roman" w:cs="Times New Roman"/>
        </w:rPr>
        <w:t xml:space="preserve">General Counsel </w:t>
      </w:r>
      <w:r w:rsidRPr="001A6BD1">
        <w:rPr>
          <w:rFonts w:ascii="Times New Roman" w:eastAsia="Times New Roman" w:hAnsi="Times New Roman" w:cs="Times New Roman"/>
        </w:rPr>
        <w:t xml:space="preserve">will promptly notify the Chair of the </w:t>
      </w:r>
      <w:r>
        <w:rPr>
          <w:rFonts w:ascii="Times New Roman" w:eastAsia="Times New Roman" w:hAnsi="Times New Roman" w:cs="Times New Roman"/>
        </w:rPr>
        <w:t>Nominating &amp; Governance</w:t>
      </w:r>
      <w:r w:rsidRPr="001A6BD1">
        <w:rPr>
          <w:rFonts w:ascii="Times New Roman" w:eastAsia="Times New Roman" w:hAnsi="Times New Roman" w:cs="Times New Roman"/>
        </w:rPr>
        <w:t xml:space="preserve"> Committee</w:t>
      </w:r>
      <w:r>
        <w:rPr>
          <w:rFonts w:ascii="Times New Roman" w:eastAsia="Times New Roman" w:hAnsi="Times New Roman" w:cs="Times New Roman"/>
        </w:rPr>
        <w:t xml:space="preserve"> (or, if the Chair of the Nominating &amp; Governance Committee is the applicable Related Party, the other members of the Nominating &amp; Governance Committee)</w:t>
      </w:r>
      <w:r w:rsidRPr="001A6BD1">
        <w:rPr>
          <w:rFonts w:ascii="Times New Roman" w:eastAsia="Times New Roman" w:hAnsi="Times New Roman" w:cs="Times New Roman"/>
        </w:rPr>
        <w:t xml:space="preserve"> of such Interested Transaction. The Chair of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Committee</w:t>
      </w:r>
      <w:r>
        <w:rPr>
          <w:rFonts w:ascii="Times New Roman" w:eastAsia="Times New Roman" w:hAnsi="Times New Roman" w:cs="Times New Roman"/>
        </w:rPr>
        <w:t xml:space="preserve"> (or such other members, collectively)</w:t>
      </w:r>
      <w:r w:rsidRPr="001A6BD1">
        <w:rPr>
          <w:rFonts w:ascii="Times New Roman" w:eastAsia="Times New Roman" w:hAnsi="Times New Roman" w:cs="Times New Roman"/>
        </w:rPr>
        <w:t xml:space="preserve"> will determine if approval of the Interested Transaction under this Policy is required. </w:t>
      </w:r>
    </w:p>
    <w:p w14:paraId="42376D5A" w14:textId="77777777" w:rsidR="00600002" w:rsidRDefault="00AB02BE" w:rsidP="00C55A02">
      <w:pPr>
        <w:spacing w:after="240"/>
        <w:jc w:val="both"/>
        <w:rPr>
          <w:rFonts w:ascii="Times New Roman" w:eastAsia="Times New Roman" w:hAnsi="Times New Roman" w:cs="Times New Roman"/>
        </w:rPr>
      </w:pPr>
      <w:r>
        <w:rPr>
          <w:rFonts w:ascii="Times New Roman" w:eastAsia="Times New Roman" w:hAnsi="Times New Roman" w:cs="Times New Roman"/>
        </w:rPr>
        <w:tab/>
      </w:r>
      <w:r w:rsidRPr="001A6BD1">
        <w:rPr>
          <w:rFonts w:ascii="Times New Roman" w:eastAsia="Times New Roman" w:hAnsi="Times New Roman" w:cs="Times New Roman"/>
        </w:rPr>
        <w:t xml:space="preserve">If approval </w:t>
      </w:r>
      <w:r>
        <w:rPr>
          <w:rFonts w:ascii="Times New Roman" w:eastAsia="Times New Roman" w:hAnsi="Times New Roman" w:cs="Times New Roman"/>
        </w:rPr>
        <w:t xml:space="preserve">of the Interested Transaction </w:t>
      </w:r>
      <w:r w:rsidRPr="001A6BD1">
        <w:rPr>
          <w:rFonts w:ascii="Times New Roman" w:eastAsia="Times New Roman" w:hAnsi="Times New Roman" w:cs="Times New Roman"/>
        </w:rPr>
        <w:t>is required</w:t>
      </w:r>
      <w:r>
        <w:rPr>
          <w:rFonts w:ascii="Times New Roman" w:eastAsia="Times New Roman" w:hAnsi="Times New Roman" w:cs="Times New Roman"/>
        </w:rPr>
        <w:t xml:space="preserve"> under this Policy</w:t>
      </w:r>
      <w:r w:rsidRPr="001A6BD1">
        <w:rPr>
          <w:rFonts w:ascii="Times New Roman" w:eastAsia="Times New Roman" w:hAnsi="Times New Roman" w:cs="Times New Roman"/>
        </w:rPr>
        <w:t xml:space="preserve">,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will review the material facts of the proposed Interested Transaction and </w:t>
      </w:r>
      <w:r>
        <w:rPr>
          <w:rFonts w:ascii="Times New Roman" w:eastAsia="Times New Roman" w:hAnsi="Times New Roman" w:cs="Times New Roman"/>
        </w:rPr>
        <w:t xml:space="preserve">either </w:t>
      </w:r>
      <w:r w:rsidRPr="001A6BD1">
        <w:rPr>
          <w:rFonts w:ascii="Times New Roman" w:eastAsia="Times New Roman" w:hAnsi="Times New Roman" w:cs="Times New Roman"/>
        </w:rPr>
        <w:t xml:space="preserve">approve or disapprove </w:t>
      </w:r>
      <w:r>
        <w:rPr>
          <w:rFonts w:ascii="Times New Roman" w:eastAsia="Times New Roman" w:hAnsi="Times New Roman" w:cs="Times New Roman"/>
        </w:rPr>
        <w:t xml:space="preserve">of the Corporation or its applicable subsidiaries </w:t>
      </w:r>
      <w:proofErr w:type="gramStart"/>
      <w:r w:rsidRPr="001A6BD1">
        <w:rPr>
          <w:rFonts w:ascii="Times New Roman" w:eastAsia="Times New Roman" w:hAnsi="Times New Roman" w:cs="Times New Roman"/>
        </w:rPr>
        <w:t>entering into</w:t>
      </w:r>
      <w:proofErr w:type="gramEnd"/>
      <w:r w:rsidRPr="001A6BD1">
        <w:rPr>
          <w:rFonts w:ascii="Times New Roman" w:eastAsia="Times New Roman" w:hAnsi="Times New Roman" w:cs="Times New Roman"/>
        </w:rPr>
        <w:t xml:space="preserve"> </w:t>
      </w:r>
      <w:r>
        <w:rPr>
          <w:rFonts w:ascii="Times New Roman" w:eastAsia="Times New Roman" w:hAnsi="Times New Roman" w:cs="Times New Roman"/>
        </w:rPr>
        <w:t>such</w:t>
      </w:r>
      <w:r w:rsidRPr="001A6BD1">
        <w:rPr>
          <w:rFonts w:ascii="Times New Roman" w:eastAsia="Times New Roman" w:hAnsi="Times New Roman" w:cs="Times New Roman"/>
        </w:rPr>
        <w:t xml:space="preserve"> Interested Transaction.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will </w:t>
      </w:r>
      <w:proofErr w:type="gramStart"/>
      <w:r w:rsidRPr="001A6BD1">
        <w:rPr>
          <w:rFonts w:ascii="Times New Roman" w:eastAsia="Times New Roman" w:hAnsi="Times New Roman" w:cs="Times New Roman"/>
        </w:rPr>
        <w:t>take into account</w:t>
      </w:r>
      <w:proofErr w:type="gramEnd"/>
      <w:r w:rsidRPr="001A6BD1">
        <w:rPr>
          <w:rFonts w:ascii="Times New Roman" w:eastAsia="Times New Roman" w:hAnsi="Times New Roman" w:cs="Times New Roman"/>
        </w:rPr>
        <w:t xml:space="preserve"> whether the Interested Transaction with a Related Party is on terms no less favorable than terms generally available to an unaffiliated third</w:t>
      </w:r>
      <w:r>
        <w:rPr>
          <w:rFonts w:ascii="Times New Roman" w:eastAsia="Times New Roman" w:hAnsi="Times New Roman" w:cs="Times New Roman"/>
        </w:rPr>
        <w:t xml:space="preserve"> </w:t>
      </w:r>
      <w:r w:rsidRPr="001A6BD1">
        <w:rPr>
          <w:rFonts w:ascii="Times New Roman" w:eastAsia="Times New Roman" w:hAnsi="Times New Roman" w:cs="Times New Roman"/>
        </w:rPr>
        <w:t>party under the same or similar circumstances</w:t>
      </w:r>
      <w:r>
        <w:rPr>
          <w:rFonts w:ascii="Times New Roman" w:eastAsia="Times New Roman" w:hAnsi="Times New Roman" w:cs="Times New Roman"/>
        </w:rPr>
        <w:t xml:space="preserve"> and the extent of the Related Party’s interest in the </w:t>
      </w:r>
      <w:r w:rsidRPr="001A6BD1">
        <w:rPr>
          <w:rFonts w:ascii="Times New Roman" w:eastAsia="Times New Roman" w:hAnsi="Times New Roman" w:cs="Times New Roman"/>
        </w:rPr>
        <w:t>Interested Transaction</w:t>
      </w:r>
      <w:r>
        <w:rPr>
          <w:rFonts w:ascii="Times New Roman" w:eastAsia="Times New Roman" w:hAnsi="Times New Roman" w:cs="Times New Roman"/>
        </w:rPr>
        <w:t>, as further described below under “Standards for Review.”</w:t>
      </w:r>
    </w:p>
    <w:p w14:paraId="1AF80F7A" w14:textId="77777777" w:rsidR="00600002" w:rsidRDefault="00AB02BE" w:rsidP="00C55A02">
      <w:pPr>
        <w:autoSpaceDE w:val="0"/>
        <w:autoSpaceDN w:val="0"/>
        <w:adjustRightInd w:val="0"/>
        <w:spacing w:after="240"/>
        <w:jc w:val="both"/>
        <w:rPr>
          <w:rFonts w:ascii="Times New Roman" w:eastAsia="Times New Roman" w:hAnsi="Times New Roman" w:cs="Times New Roman"/>
        </w:rPr>
      </w:pPr>
      <w:r>
        <w:rPr>
          <w:rFonts w:ascii="Times New Roman" w:eastAsia="Times New Roman" w:hAnsi="Times New Roman" w:cs="Times New Roman"/>
        </w:rPr>
        <w:tab/>
      </w:r>
      <w:r w:rsidRPr="00D25034">
        <w:rPr>
          <w:rFonts w:ascii="Times New Roman" w:eastAsia="Times New Roman" w:hAnsi="Times New Roman" w:cs="Times New Roman"/>
        </w:rPr>
        <w:t xml:space="preserve">If </w:t>
      </w:r>
      <w:proofErr w:type="gramStart"/>
      <w:r w:rsidRPr="00D25034">
        <w:rPr>
          <w:rFonts w:ascii="Times New Roman" w:eastAsia="Times New Roman" w:hAnsi="Times New Roman" w:cs="Times New Roman"/>
        </w:rPr>
        <w:t>advance</w:t>
      </w:r>
      <w:proofErr w:type="gramEnd"/>
      <w:r w:rsidRPr="00D25034">
        <w:rPr>
          <w:rFonts w:ascii="Times New Roman" w:eastAsia="Times New Roman" w:hAnsi="Times New Roman" w:cs="Times New Roman"/>
        </w:rPr>
        <w:t xml:space="preserve"> approval</w:t>
      </w:r>
      <w:r>
        <w:rPr>
          <w:rFonts w:ascii="Times New Roman" w:eastAsia="Times New Roman" w:hAnsi="Times New Roman" w:cs="Times New Roman"/>
        </w:rPr>
        <w:t xml:space="preserve"> </w:t>
      </w:r>
      <w:r w:rsidRPr="005D5313">
        <w:rPr>
          <w:rFonts w:ascii="Times New Roman" w:eastAsia="Times New Roman" w:hAnsi="Times New Roman" w:cs="Times New Roman"/>
        </w:rPr>
        <w:t xml:space="preserve">of an Interested Transaction </w:t>
      </w:r>
      <w:r>
        <w:rPr>
          <w:rFonts w:ascii="Times New Roman" w:eastAsia="Times New Roman" w:hAnsi="Times New Roman" w:cs="Times New Roman"/>
        </w:rPr>
        <w:t xml:space="preserve">by </w:t>
      </w:r>
      <w:r w:rsidRPr="001A6BD1">
        <w:rPr>
          <w:rFonts w:ascii="Times New Roman" w:eastAsia="Times New Roman" w:hAnsi="Times New Roman" w:cs="Times New Roman"/>
        </w:rPr>
        <w:t xml:space="preserve">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sidRPr="00D25034">
        <w:rPr>
          <w:rFonts w:ascii="Times New Roman" w:eastAsia="Times New Roman" w:hAnsi="Times New Roman" w:cs="Times New Roman"/>
        </w:rPr>
        <w:t>is not feasible, then the Interested Transact</w:t>
      </w:r>
      <w:r>
        <w:rPr>
          <w:rFonts w:ascii="Times New Roman" w:eastAsia="Times New Roman" w:hAnsi="Times New Roman" w:cs="Times New Roman"/>
        </w:rPr>
        <w:t xml:space="preserve">ion shall be considered and, if </w:t>
      </w:r>
      <w:r w:rsidRPr="00D25034">
        <w:rPr>
          <w:rFonts w:ascii="Times New Roman" w:eastAsia="Times New Roman" w:hAnsi="Times New Roman" w:cs="Times New Roman"/>
        </w:rPr>
        <w:t xml:space="preserve">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Pr>
          <w:rFonts w:ascii="Times New Roman" w:eastAsia="Times New Roman" w:hAnsi="Times New Roman" w:cs="Times New Roman"/>
        </w:rPr>
        <w:t>determines</w:t>
      </w:r>
      <w:r w:rsidRPr="00D25034">
        <w:rPr>
          <w:rFonts w:ascii="Times New Roman" w:eastAsia="Times New Roman" w:hAnsi="Times New Roman" w:cs="Times New Roman"/>
        </w:rPr>
        <w:t xml:space="preserve"> it to be appropriate, ratified at the </w:t>
      </w:r>
      <w:r>
        <w:rPr>
          <w:rFonts w:ascii="Times New Roman" w:eastAsia="Times New Roman" w:hAnsi="Times New Roman" w:cs="Times New Roman"/>
        </w:rPr>
        <w:t xml:space="preserve">next regularly scheduled </w:t>
      </w:r>
      <w:r w:rsidRPr="00D25034">
        <w:rPr>
          <w:rFonts w:ascii="Times New Roman" w:eastAsia="Times New Roman" w:hAnsi="Times New Roman" w:cs="Times New Roman"/>
        </w:rPr>
        <w:t>meeting</w:t>
      </w:r>
      <w:r>
        <w:rPr>
          <w:rFonts w:ascii="Times New Roman" w:eastAsia="Times New Roman" w:hAnsi="Times New Roman" w:cs="Times New Roman"/>
        </w:rPr>
        <w:t xml:space="preserve"> of the Nominating &amp; Governance </w:t>
      </w:r>
      <w:r w:rsidRPr="001A6BD1">
        <w:rPr>
          <w:rFonts w:ascii="Times New Roman" w:eastAsia="Times New Roman" w:hAnsi="Times New Roman" w:cs="Times New Roman"/>
        </w:rPr>
        <w:t>Committee</w:t>
      </w:r>
      <w:r w:rsidRPr="00D25034">
        <w:rPr>
          <w:rFonts w:ascii="Times New Roman" w:eastAsia="Times New Roman" w:hAnsi="Times New Roman" w:cs="Times New Roman"/>
        </w:rPr>
        <w:t>.</w:t>
      </w:r>
    </w:p>
    <w:p w14:paraId="0F181EB3" w14:textId="77777777" w:rsidR="00600002" w:rsidRDefault="00AB02BE" w:rsidP="00C55A02">
      <w:pPr>
        <w:autoSpaceDE w:val="0"/>
        <w:autoSpaceDN w:val="0"/>
        <w:adjustRightInd w:val="0"/>
        <w:spacing w:after="240"/>
        <w:jc w:val="both"/>
        <w:rPr>
          <w:rFonts w:ascii="Times New Roman" w:eastAsia="Times New Roman" w:hAnsi="Times New Roman" w:cs="Times New Roman"/>
        </w:rPr>
      </w:pPr>
      <w:r>
        <w:rPr>
          <w:rFonts w:ascii="Times New Roman" w:eastAsia="Times New Roman" w:hAnsi="Times New Roman" w:cs="Times New Roman"/>
        </w:rPr>
        <w:tab/>
      </w:r>
      <w:r w:rsidRPr="00D25034">
        <w:rPr>
          <w:rFonts w:ascii="Times New Roman" w:eastAsia="Times New Roman" w:hAnsi="Times New Roman" w:cs="Times New Roman"/>
        </w:rPr>
        <w:t>In the event the Corporation’s Chief Executive Officer, Chief Finan</w:t>
      </w:r>
      <w:r>
        <w:rPr>
          <w:rFonts w:ascii="Times New Roman" w:eastAsia="Times New Roman" w:hAnsi="Times New Roman" w:cs="Times New Roman"/>
        </w:rPr>
        <w:t xml:space="preserve">cial Officer or General Counsel </w:t>
      </w:r>
      <w:r w:rsidRPr="00D25034">
        <w:rPr>
          <w:rFonts w:ascii="Times New Roman" w:eastAsia="Times New Roman" w:hAnsi="Times New Roman" w:cs="Times New Roman"/>
        </w:rPr>
        <w:t xml:space="preserve">becomes aware of an Interested Transaction that was not previously </w:t>
      </w:r>
      <w:r>
        <w:rPr>
          <w:rFonts w:ascii="Times New Roman" w:eastAsia="Times New Roman" w:hAnsi="Times New Roman" w:cs="Times New Roman"/>
        </w:rPr>
        <w:t xml:space="preserve">approved or ratified under this </w:t>
      </w:r>
      <w:r w:rsidRPr="00D25034">
        <w:rPr>
          <w:rFonts w:ascii="Times New Roman" w:eastAsia="Times New Roman" w:hAnsi="Times New Roman" w:cs="Times New Roman"/>
        </w:rPr>
        <w:t xml:space="preserve">Policy, such person shall promptly notify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Committee</w:t>
      </w:r>
      <w:r w:rsidRPr="00D25034">
        <w:rPr>
          <w:rFonts w:ascii="Times New Roman" w:eastAsia="Times New Roman" w:hAnsi="Times New Roman" w:cs="Times New Roman"/>
        </w:rPr>
        <w:t xml:space="preserve">, and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sidRPr="00D25034">
        <w:rPr>
          <w:rFonts w:ascii="Times New Roman" w:eastAsia="Times New Roman" w:hAnsi="Times New Roman" w:cs="Times New Roman"/>
        </w:rPr>
        <w:t>shall consider whether the Interested Transaction should be</w:t>
      </w:r>
      <w:r>
        <w:rPr>
          <w:rFonts w:ascii="Times New Roman" w:eastAsia="Times New Roman" w:hAnsi="Times New Roman" w:cs="Times New Roman"/>
        </w:rPr>
        <w:t xml:space="preserve"> ratified or rescinded or other </w:t>
      </w:r>
      <w:r w:rsidRPr="00D25034">
        <w:rPr>
          <w:rFonts w:ascii="Times New Roman" w:eastAsia="Times New Roman" w:hAnsi="Times New Roman" w:cs="Times New Roman"/>
        </w:rPr>
        <w:t xml:space="preserve">action should be taken. </w:t>
      </w:r>
    </w:p>
    <w:p w14:paraId="60DCDDE1" w14:textId="77777777" w:rsidR="00600002" w:rsidRDefault="00AB02BE" w:rsidP="00C55A02">
      <w:pPr>
        <w:autoSpaceDE w:val="0"/>
        <w:autoSpaceDN w:val="0"/>
        <w:adjustRightInd w:val="0"/>
        <w:spacing w:after="240"/>
        <w:jc w:val="both"/>
        <w:rPr>
          <w:rFonts w:ascii="Times New Roman" w:eastAsia="Times New Roman" w:hAnsi="Times New Roman" w:cs="Times New Roman"/>
        </w:rPr>
      </w:pPr>
      <w:r>
        <w:rPr>
          <w:rFonts w:ascii="Times New Roman" w:eastAsia="Times New Roman" w:hAnsi="Times New Roman" w:cs="Times New Roman"/>
        </w:rPr>
        <w:tab/>
      </w:r>
      <w:r w:rsidRPr="00D25034">
        <w:rPr>
          <w:rFonts w:ascii="Times New Roman" w:eastAsia="Times New Roman" w:hAnsi="Times New Roman" w:cs="Times New Roman"/>
        </w:rPr>
        <w:t xml:space="preserve">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sidRPr="00D25034">
        <w:rPr>
          <w:rFonts w:ascii="Times New Roman" w:eastAsia="Times New Roman" w:hAnsi="Times New Roman" w:cs="Times New Roman"/>
        </w:rPr>
        <w:t>has reviewed the Interested Transactions described below in “</w:t>
      </w:r>
      <w:r>
        <w:rPr>
          <w:rFonts w:ascii="Times New Roman" w:eastAsia="Times New Roman" w:hAnsi="Times New Roman" w:cs="Times New Roman"/>
        </w:rPr>
        <w:t xml:space="preserve">Standing Pre-Approval for </w:t>
      </w:r>
      <w:r w:rsidRPr="00D25034">
        <w:rPr>
          <w:rFonts w:ascii="Times New Roman" w:eastAsia="Times New Roman" w:hAnsi="Times New Roman" w:cs="Times New Roman"/>
        </w:rPr>
        <w:t>Certain Interested Transactions” and determined that each of the In</w:t>
      </w:r>
      <w:r>
        <w:rPr>
          <w:rFonts w:ascii="Times New Roman" w:eastAsia="Times New Roman" w:hAnsi="Times New Roman" w:cs="Times New Roman"/>
        </w:rPr>
        <w:t xml:space="preserve">terested Transactions described </w:t>
      </w:r>
      <w:r w:rsidRPr="00D25034">
        <w:rPr>
          <w:rFonts w:ascii="Times New Roman" w:eastAsia="Times New Roman" w:hAnsi="Times New Roman" w:cs="Times New Roman"/>
        </w:rPr>
        <w:t xml:space="preserve">therein shall be deemed to be pre-approved or ratified (as applicable) by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Pr>
          <w:rFonts w:ascii="Times New Roman" w:eastAsia="Times New Roman" w:hAnsi="Times New Roman" w:cs="Times New Roman"/>
        </w:rPr>
        <w:t xml:space="preserve">under the </w:t>
      </w:r>
      <w:r w:rsidRPr="00D25034">
        <w:rPr>
          <w:rFonts w:ascii="Times New Roman" w:eastAsia="Times New Roman" w:hAnsi="Times New Roman" w:cs="Times New Roman"/>
        </w:rPr>
        <w:t xml:space="preserve">terms of this Policy, unless specifically determined otherwise by the </w:t>
      </w:r>
      <w:r>
        <w:rPr>
          <w:rFonts w:ascii="Times New Roman" w:eastAsia="Times New Roman" w:hAnsi="Times New Roman" w:cs="Times New Roman"/>
        </w:rPr>
        <w:t xml:space="preserve">Nominating &amp; Governance Committee. </w:t>
      </w:r>
    </w:p>
    <w:p w14:paraId="64D8696B" w14:textId="77777777" w:rsidR="00600002" w:rsidRPr="00D25034" w:rsidRDefault="00AB02BE" w:rsidP="00C55A02">
      <w:pPr>
        <w:autoSpaceDE w:val="0"/>
        <w:autoSpaceDN w:val="0"/>
        <w:adjustRightInd w:val="0"/>
        <w:spacing w:after="240"/>
        <w:jc w:val="both"/>
        <w:rPr>
          <w:rFonts w:ascii="Times New Roman" w:eastAsia="Times New Roman" w:hAnsi="Times New Roman" w:cs="Times New Roman"/>
        </w:rPr>
      </w:pPr>
      <w:r>
        <w:rPr>
          <w:rFonts w:ascii="Times New Roman" w:eastAsia="Times New Roman" w:hAnsi="Times New Roman" w:cs="Times New Roman"/>
        </w:rPr>
        <w:tab/>
      </w:r>
      <w:r w:rsidRPr="00D25034">
        <w:rPr>
          <w:rFonts w:ascii="Times New Roman" w:eastAsia="Times New Roman" w:hAnsi="Times New Roman" w:cs="Times New Roman"/>
        </w:rPr>
        <w:t xml:space="preserve">If an Interested Transaction </w:t>
      </w:r>
      <w:proofErr w:type="gramStart"/>
      <w:r w:rsidRPr="00D25034">
        <w:rPr>
          <w:rFonts w:ascii="Times New Roman" w:eastAsia="Times New Roman" w:hAnsi="Times New Roman" w:cs="Times New Roman"/>
        </w:rPr>
        <w:t>will be</w:t>
      </w:r>
      <w:proofErr w:type="gramEnd"/>
      <w:r w:rsidRPr="00D25034">
        <w:rPr>
          <w:rFonts w:ascii="Times New Roman" w:eastAsia="Times New Roman" w:hAnsi="Times New Roman" w:cs="Times New Roman"/>
        </w:rPr>
        <w:t xml:space="preserve"> ongoing,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sidRPr="00D25034">
        <w:rPr>
          <w:rFonts w:ascii="Times New Roman" w:eastAsia="Times New Roman" w:hAnsi="Times New Roman" w:cs="Times New Roman"/>
        </w:rPr>
        <w:t xml:space="preserve">may establish guidelines for the Corporation’s management to follow in its ongoing dealings with the </w:t>
      </w:r>
      <w:r>
        <w:rPr>
          <w:rFonts w:ascii="Times New Roman" w:eastAsia="Times New Roman" w:hAnsi="Times New Roman" w:cs="Times New Roman"/>
        </w:rPr>
        <w:t xml:space="preserve">applicable </w:t>
      </w:r>
      <w:r w:rsidRPr="00D25034">
        <w:rPr>
          <w:rFonts w:ascii="Times New Roman" w:eastAsia="Times New Roman" w:hAnsi="Times New Roman" w:cs="Times New Roman"/>
        </w:rPr>
        <w:t>Related Party. Thereafter, the</w:t>
      </w:r>
      <w:r>
        <w:rPr>
          <w:rFonts w:ascii="Times New Roman" w:eastAsia="Times New Roman" w:hAnsi="Times New Roman" w:cs="Times New Roman"/>
        </w:rPr>
        <w:t xml:space="preserve"> Nominating &amp; Governance </w:t>
      </w:r>
      <w:r w:rsidRPr="001A6BD1">
        <w:rPr>
          <w:rFonts w:ascii="Times New Roman" w:eastAsia="Times New Roman" w:hAnsi="Times New Roman" w:cs="Times New Roman"/>
        </w:rPr>
        <w:t>Committee</w:t>
      </w:r>
      <w:r w:rsidRPr="00D25034">
        <w:rPr>
          <w:rFonts w:ascii="Times New Roman" w:eastAsia="Times New Roman" w:hAnsi="Times New Roman" w:cs="Times New Roman"/>
        </w:rPr>
        <w:t>, on at least an annual basis, shall review and assess ongoing</w:t>
      </w:r>
      <w:r>
        <w:rPr>
          <w:rFonts w:ascii="Times New Roman" w:eastAsia="Times New Roman" w:hAnsi="Times New Roman" w:cs="Times New Roman"/>
        </w:rPr>
        <w:t xml:space="preserve"> relationships with such </w:t>
      </w:r>
      <w:proofErr w:type="gramStart"/>
      <w:r>
        <w:rPr>
          <w:rFonts w:ascii="Times New Roman" w:eastAsia="Times New Roman" w:hAnsi="Times New Roman" w:cs="Times New Roman"/>
        </w:rPr>
        <w:t>Related</w:t>
      </w:r>
      <w:proofErr w:type="gramEnd"/>
      <w:r>
        <w:rPr>
          <w:rFonts w:ascii="Times New Roman" w:eastAsia="Times New Roman" w:hAnsi="Times New Roman" w:cs="Times New Roman"/>
        </w:rPr>
        <w:t xml:space="preserve"> </w:t>
      </w:r>
      <w:r w:rsidRPr="00D25034">
        <w:rPr>
          <w:rFonts w:ascii="Times New Roman" w:eastAsia="Times New Roman" w:hAnsi="Times New Roman" w:cs="Times New Roman"/>
        </w:rPr>
        <w:t xml:space="preserve">Party to ensure that they </w:t>
      </w:r>
      <w:proofErr w:type="gramStart"/>
      <w:r w:rsidRPr="00D25034">
        <w:rPr>
          <w:rFonts w:ascii="Times New Roman" w:eastAsia="Times New Roman" w:hAnsi="Times New Roman" w:cs="Times New Roman"/>
        </w:rPr>
        <w:t>are in compliance with</w:t>
      </w:r>
      <w:proofErr w:type="gramEnd"/>
      <w:r w:rsidRPr="00D25034">
        <w:rPr>
          <w:rFonts w:ascii="Times New Roman" w:eastAsia="Times New Roman" w:hAnsi="Times New Roman" w:cs="Times New Roman"/>
        </w:rPr>
        <w:t xml:space="preserve">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Committee</w:t>
      </w:r>
      <w:r>
        <w:rPr>
          <w:rFonts w:ascii="Times New Roman" w:eastAsia="Times New Roman" w:hAnsi="Times New Roman" w:cs="Times New Roman"/>
        </w:rPr>
        <w:t xml:space="preserve">’s </w:t>
      </w:r>
      <w:r w:rsidRPr="00D25034">
        <w:rPr>
          <w:rFonts w:ascii="Times New Roman" w:eastAsia="Times New Roman" w:hAnsi="Times New Roman" w:cs="Times New Roman"/>
        </w:rPr>
        <w:t>guidelines and that the Inter</w:t>
      </w:r>
      <w:r>
        <w:rPr>
          <w:rFonts w:ascii="Times New Roman" w:eastAsia="Times New Roman" w:hAnsi="Times New Roman" w:cs="Times New Roman"/>
        </w:rPr>
        <w:t xml:space="preserve">ested </w:t>
      </w:r>
      <w:r w:rsidRPr="00D25034">
        <w:rPr>
          <w:rFonts w:ascii="Times New Roman" w:eastAsia="Times New Roman" w:hAnsi="Times New Roman" w:cs="Times New Roman"/>
        </w:rPr>
        <w:t>Transaction remains appropriate.</w:t>
      </w:r>
    </w:p>
    <w:p w14:paraId="0A848D11" w14:textId="77777777" w:rsidR="00600002" w:rsidRDefault="00AB02BE" w:rsidP="00C55A02">
      <w:pPr>
        <w:spacing w:after="240"/>
        <w:jc w:val="both"/>
        <w:rPr>
          <w:rFonts w:ascii="Times New Roman" w:eastAsia="Times New Roman" w:hAnsi="Times New Roman" w:cs="Times New Roman"/>
        </w:rPr>
      </w:pPr>
      <w:r>
        <w:rPr>
          <w:rFonts w:ascii="Times New Roman" w:eastAsia="Times New Roman" w:hAnsi="Times New Roman" w:cs="Times New Roman"/>
        </w:rPr>
        <w:lastRenderedPageBreak/>
        <w:tab/>
      </w:r>
      <w:r w:rsidRPr="001A6BD1">
        <w:rPr>
          <w:rFonts w:ascii="Times New Roman" w:eastAsia="Times New Roman" w:hAnsi="Times New Roman" w:cs="Times New Roman"/>
        </w:rPr>
        <w:t>No director will participate in any discussion or approval of an</w:t>
      </w:r>
      <w:r>
        <w:rPr>
          <w:rFonts w:ascii="Times New Roman" w:eastAsia="Times New Roman" w:hAnsi="Times New Roman" w:cs="Times New Roman"/>
        </w:rPr>
        <w:t>y</w:t>
      </w:r>
      <w:r w:rsidRPr="001A6BD1">
        <w:rPr>
          <w:rFonts w:ascii="Times New Roman" w:eastAsia="Times New Roman" w:hAnsi="Times New Roman" w:cs="Times New Roman"/>
        </w:rPr>
        <w:t xml:space="preserve"> Interested Transaction </w:t>
      </w:r>
      <w:r>
        <w:rPr>
          <w:rFonts w:ascii="Times New Roman" w:eastAsia="Times New Roman" w:hAnsi="Times New Roman" w:cs="Times New Roman"/>
        </w:rPr>
        <w:t>with respect to</w:t>
      </w:r>
      <w:r w:rsidRPr="001A6BD1">
        <w:rPr>
          <w:rFonts w:ascii="Times New Roman" w:eastAsia="Times New Roman" w:hAnsi="Times New Roman" w:cs="Times New Roman"/>
        </w:rPr>
        <w:t xml:space="preserve"> which he or she is a Related Party, except that </w:t>
      </w:r>
      <w:r>
        <w:rPr>
          <w:rFonts w:ascii="Times New Roman" w:eastAsia="Times New Roman" w:hAnsi="Times New Roman" w:cs="Times New Roman"/>
        </w:rPr>
        <w:t>any such</w:t>
      </w:r>
      <w:r w:rsidRPr="001A6BD1">
        <w:rPr>
          <w:rFonts w:ascii="Times New Roman" w:eastAsia="Times New Roman" w:hAnsi="Times New Roman" w:cs="Times New Roman"/>
        </w:rPr>
        <w:t xml:space="preserve"> director </w:t>
      </w:r>
      <w:r>
        <w:rPr>
          <w:rFonts w:ascii="Times New Roman" w:eastAsia="Times New Roman" w:hAnsi="Times New Roman" w:cs="Times New Roman"/>
        </w:rPr>
        <w:t>shall</w:t>
      </w:r>
      <w:r w:rsidRPr="001A6BD1">
        <w:rPr>
          <w:rFonts w:ascii="Times New Roman" w:eastAsia="Times New Roman" w:hAnsi="Times New Roman" w:cs="Times New Roman"/>
        </w:rPr>
        <w:t xml:space="preserve"> provide</w:t>
      </w:r>
      <w:r>
        <w:rPr>
          <w:rFonts w:ascii="Times New Roman" w:eastAsia="Times New Roman" w:hAnsi="Times New Roman" w:cs="Times New Roman"/>
        </w:rPr>
        <w:t xml:space="preserve"> to the Nominating &amp; Governance Committee</w:t>
      </w:r>
      <w:r w:rsidRPr="001A6BD1">
        <w:rPr>
          <w:rFonts w:ascii="Times New Roman" w:eastAsia="Times New Roman" w:hAnsi="Times New Roman" w:cs="Times New Roman"/>
        </w:rPr>
        <w:t xml:space="preserve"> </w:t>
      </w:r>
      <w:r>
        <w:rPr>
          <w:rFonts w:ascii="Times New Roman" w:eastAsia="Times New Roman" w:hAnsi="Times New Roman" w:cs="Times New Roman"/>
        </w:rPr>
        <w:t xml:space="preserve">all material </w:t>
      </w:r>
      <w:r w:rsidRPr="001A6BD1">
        <w:rPr>
          <w:rFonts w:ascii="Times New Roman" w:eastAsia="Times New Roman" w:hAnsi="Times New Roman" w:cs="Times New Roman"/>
        </w:rPr>
        <w:t xml:space="preserve">information </w:t>
      </w:r>
      <w:r>
        <w:rPr>
          <w:rFonts w:ascii="Times New Roman" w:eastAsia="Times New Roman" w:hAnsi="Times New Roman" w:cs="Times New Roman"/>
        </w:rPr>
        <w:t>about</w:t>
      </w:r>
      <w:r w:rsidRPr="001A6BD1">
        <w:rPr>
          <w:rFonts w:ascii="Times New Roman" w:eastAsia="Times New Roman" w:hAnsi="Times New Roman" w:cs="Times New Roman"/>
        </w:rPr>
        <w:t xml:space="preserve"> </w:t>
      </w:r>
      <w:r>
        <w:rPr>
          <w:rFonts w:ascii="Times New Roman" w:eastAsia="Times New Roman" w:hAnsi="Times New Roman" w:cs="Times New Roman"/>
        </w:rPr>
        <w:t>such</w:t>
      </w:r>
      <w:r w:rsidRPr="001A6BD1">
        <w:rPr>
          <w:rFonts w:ascii="Times New Roman" w:eastAsia="Times New Roman" w:hAnsi="Times New Roman" w:cs="Times New Roman"/>
        </w:rPr>
        <w:t xml:space="preserve"> Interested Transaction</w:t>
      </w:r>
      <w:r>
        <w:rPr>
          <w:rFonts w:ascii="Times New Roman" w:eastAsia="Times New Roman" w:hAnsi="Times New Roman" w:cs="Times New Roman"/>
        </w:rPr>
        <w:t>, the interest of the Related Party in such Interested Transaction and any potential disclosure obligations of the Corporation in connection with such Interested Transaction</w:t>
      </w:r>
      <w:r w:rsidRPr="001A6BD1">
        <w:rPr>
          <w:rFonts w:ascii="Times New Roman" w:eastAsia="Times New Roman" w:hAnsi="Times New Roman" w:cs="Times New Roman"/>
        </w:rPr>
        <w:t xml:space="preserve">. </w:t>
      </w:r>
    </w:p>
    <w:p w14:paraId="39D9A8C8" w14:textId="77777777" w:rsidR="00600002" w:rsidRDefault="00AB02BE" w:rsidP="00C55A02">
      <w:pPr>
        <w:spacing w:after="240"/>
        <w:jc w:val="both"/>
        <w:rPr>
          <w:rFonts w:ascii="Times New Roman" w:eastAsia="Times New Roman" w:hAnsi="Times New Roman" w:cs="Times New Roman"/>
          <w:bCs/>
          <w:i/>
          <w:iCs/>
        </w:rPr>
      </w:pPr>
      <w:r>
        <w:rPr>
          <w:rFonts w:ascii="Times New Roman" w:eastAsia="Times New Roman" w:hAnsi="Times New Roman" w:cs="Times New Roman"/>
          <w:bCs/>
          <w:i/>
          <w:iCs/>
        </w:rPr>
        <w:t>Standards for Review</w:t>
      </w:r>
    </w:p>
    <w:p w14:paraId="4640746B" w14:textId="77777777" w:rsidR="00600002" w:rsidRDefault="00AB02BE" w:rsidP="00C55A02">
      <w:pPr>
        <w:spacing w:after="240"/>
        <w:jc w:val="both"/>
        <w:rPr>
          <w:rFonts w:ascii="Times New Roman" w:eastAsia="Times New Roman" w:hAnsi="Times New Roman" w:cs="Times New Roman"/>
        </w:rPr>
      </w:pPr>
      <w:r>
        <w:rPr>
          <w:rFonts w:ascii="Times New Roman" w:eastAsia="Times New Roman" w:hAnsi="Times New Roman" w:cs="Times New Roman"/>
        </w:rPr>
        <w:tab/>
      </w:r>
      <w:r w:rsidRPr="00320325">
        <w:rPr>
          <w:rFonts w:ascii="Times New Roman" w:eastAsia="Times New Roman" w:hAnsi="Times New Roman" w:cs="Times New Roman"/>
        </w:rPr>
        <w:t>An Interested Transaction reviewed under this Policy will be considere</w:t>
      </w:r>
      <w:r>
        <w:rPr>
          <w:rFonts w:ascii="Times New Roman" w:eastAsia="Times New Roman" w:hAnsi="Times New Roman" w:cs="Times New Roman"/>
        </w:rPr>
        <w:t xml:space="preserve">d approved or ratified if it is </w:t>
      </w:r>
      <w:r w:rsidRPr="00320325">
        <w:rPr>
          <w:rFonts w:ascii="Times New Roman" w:eastAsia="Times New Roman" w:hAnsi="Times New Roman" w:cs="Times New Roman"/>
        </w:rPr>
        <w:t xml:space="preserve">authorized by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sidRPr="00320325">
        <w:rPr>
          <w:rFonts w:ascii="Times New Roman" w:eastAsia="Times New Roman" w:hAnsi="Times New Roman" w:cs="Times New Roman"/>
        </w:rPr>
        <w:t>in accordan</w:t>
      </w:r>
      <w:r>
        <w:rPr>
          <w:rFonts w:ascii="Times New Roman" w:eastAsia="Times New Roman" w:hAnsi="Times New Roman" w:cs="Times New Roman"/>
        </w:rPr>
        <w:t xml:space="preserve">ce with the </w:t>
      </w:r>
      <w:r w:rsidRPr="00320325">
        <w:rPr>
          <w:rFonts w:ascii="Times New Roman" w:eastAsia="Times New Roman" w:hAnsi="Times New Roman" w:cs="Times New Roman"/>
        </w:rPr>
        <w:t>standards set forth in this Policy after full disclosure of the Related Party’s i</w:t>
      </w:r>
      <w:r>
        <w:rPr>
          <w:rFonts w:ascii="Times New Roman" w:eastAsia="Times New Roman" w:hAnsi="Times New Roman" w:cs="Times New Roman"/>
        </w:rPr>
        <w:t xml:space="preserve">nterests in the transaction. As </w:t>
      </w:r>
      <w:r w:rsidRPr="00320325">
        <w:rPr>
          <w:rFonts w:ascii="Times New Roman" w:eastAsia="Times New Roman" w:hAnsi="Times New Roman" w:cs="Times New Roman"/>
        </w:rPr>
        <w:t xml:space="preserve">appropriate for the circumstances, </w:t>
      </w:r>
      <w:r>
        <w:rPr>
          <w:rFonts w:ascii="Times New Roman" w:eastAsia="Times New Roman" w:hAnsi="Times New Roman" w:cs="Times New Roman"/>
        </w:rPr>
        <w:t>the Nominating &amp; Governance</w:t>
      </w:r>
      <w:r w:rsidRPr="001A6BD1">
        <w:rPr>
          <w:rFonts w:ascii="Times New Roman" w:eastAsia="Times New Roman" w:hAnsi="Times New Roman" w:cs="Times New Roman"/>
        </w:rPr>
        <w:t xml:space="preserve"> Committee </w:t>
      </w:r>
      <w:r>
        <w:rPr>
          <w:rFonts w:ascii="Times New Roman" w:eastAsia="Times New Roman" w:hAnsi="Times New Roman" w:cs="Times New Roman"/>
        </w:rPr>
        <w:t xml:space="preserve">shall </w:t>
      </w:r>
      <w:r w:rsidRPr="00320325">
        <w:rPr>
          <w:rFonts w:ascii="Times New Roman" w:eastAsia="Times New Roman" w:hAnsi="Times New Roman" w:cs="Times New Roman"/>
        </w:rPr>
        <w:t>review and consider</w:t>
      </w:r>
      <w:r>
        <w:rPr>
          <w:rFonts w:ascii="Times New Roman" w:eastAsia="Times New Roman" w:hAnsi="Times New Roman" w:cs="Times New Roman"/>
        </w:rPr>
        <w:t xml:space="preserve"> the following factors</w:t>
      </w:r>
      <w:r w:rsidRPr="00320325">
        <w:rPr>
          <w:rFonts w:ascii="Times New Roman" w:eastAsia="Times New Roman" w:hAnsi="Times New Roman" w:cs="Times New Roman"/>
        </w:rPr>
        <w:t>:</w:t>
      </w:r>
    </w:p>
    <w:p w14:paraId="06D3586A" w14:textId="77777777" w:rsidR="00600002" w:rsidRDefault="00AB02BE" w:rsidP="00C55A02">
      <w:pPr>
        <w:pStyle w:val="ListParagraph"/>
        <w:numPr>
          <w:ilvl w:val="0"/>
          <w:numId w:val="3"/>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 xml:space="preserve">the Related Party’s interest in the Interested </w:t>
      </w:r>
      <w:proofErr w:type="gramStart"/>
      <w:r w:rsidRPr="00320325">
        <w:rPr>
          <w:rFonts w:ascii="Times New Roman" w:eastAsia="Times New Roman" w:hAnsi="Times New Roman" w:cs="Times New Roman"/>
        </w:rPr>
        <w:t>Transaction;</w:t>
      </w:r>
      <w:proofErr w:type="gramEnd"/>
    </w:p>
    <w:p w14:paraId="413B6FF5" w14:textId="77777777" w:rsidR="00600002" w:rsidRDefault="00AB02BE" w:rsidP="00C55A02">
      <w:pPr>
        <w:pStyle w:val="ListParagraph"/>
        <w:numPr>
          <w:ilvl w:val="0"/>
          <w:numId w:val="3"/>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 xml:space="preserve">the approximate dollar value of the amount involved in the Interested </w:t>
      </w:r>
      <w:proofErr w:type="gramStart"/>
      <w:r w:rsidRPr="00320325">
        <w:rPr>
          <w:rFonts w:ascii="Times New Roman" w:eastAsia="Times New Roman" w:hAnsi="Times New Roman" w:cs="Times New Roman"/>
        </w:rPr>
        <w:t>Transaction;</w:t>
      </w:r>
      <w:proofErr w:type="gramEnd"/>
    </w:p>
    <w:p w14:paraId="405130F8" w14:textId="77777777" w:rsidR="00600002" w:rsidRPr="00FB0549" w:rsidRDefault="00AB02BE" w:rsidP="00C55A02">
      <w:pPr>
        <w:pStyle w:val="ListParagraph"/>
        <w:numPr>
          <w:ilvl w:val="0"/>
          <w:numId w:val="3"/>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 xml:space="preserve">the approximate dollar value of the amount of the Related Party’s interest in the </w:t>
      </w:r>
      <w:r>
        <w:rPr>
          <w:rFonts w:ascii="Times New Roman" w:eastAsia="Times New Roman" w:hAnsi="Times New Roman" w:cs="Times New Roman"/>
        </w:rPr>
        <w:t>Interested T</w:t>
      </w:r>
      <w:r w:rsidRPr="00320325">
        <w:rPr>
          <w:rFonts w:ascii="Times New Roman" w:eastAsia="Times New Roman" w:hAnsi="Times New Roman" w:cs="Times New Roman"/>
        </w:rPr>
        <w:t>ransaction</w:t>
      </w:r>
      <w:r>
        <w:rPr>
          <w:rFonts w:ascii="Times New Roman" w:eastAsia="Times New Roman" w:hAnsi="Times New Roman" w:cs="Times New Roman"/>
        </w:rPr>
        <w:t xml:space="preserve"> </w:t>
      </w:r>
      <w:r w:rsidRPr="00320325">
        <w:rPr>
          <w:rFonts w:ascii="Times New Roman" w:eastAsia="Times New Roman" w:hAnsi="Times New Roman" w:cs="Times New Roman"/>
        </w:rPr>
        <w:t xml:space="preserve">without regard to the amount of any profit or </w:t>
      </w:r>
      <w:proofErr w:type="gramStart"/>
      <w:r w:rsidRPr="00320325">
        <w:rPr>
          <w:rFonts w:ascii="Times New Roman" w:eastAsia="Times New Roman" w:hAnsi="Times New Roman" w:cs="Times New Roman"/>
        </w:rPr>
        <w:t>loss;</w:t>
      </w:r>
      <w:proofErr w:type="gramEnd"/>
    </w:p>
    <w:p w14:paraId="29DC9F69" w14:textId="77777777" w:rsidR="00600002" w:rsidRDefault="00AB02BE" w:rsidP="00C55A02">
      <w:pPr>
        <w:pStyle w:val="ListParagraph"/>
        <w:numPr>
          <w:ilvl w:val="0"/>
          <w:numId w:val="3"/>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 xml:space="preserve">whether the </w:t>
      </w:r>
      <w:r>
        <w:rPr>
          <w:rFonts w:ascii="Times New Roman" w:eastAsia="Times New Roman" w:hAnsi="Times New Roman" w:cs="Times New Roman"/>
        </w:rPr>
        <w:t>Interested T</w:t>
      </w:r>
      <w:r w:rsidRPr="00320325">
        <w:rPr>
          <w:rFonts w:ascii="Times New Roman" w:eastAsia="Times New Roman" w:hAnsi="Times New Roman" w:cs="Times New Roman"/>
        </w:rPr>
        <w:t xml:space="preserve">ransaction was undertaken in the ordinary course of business of the </w:t>
      </w:r>
      <w:proofErr w:type="gramStart"/>
      <w:r w:rsidRPr="00320325">
        <w:rPr>
          <w:rFonts w:ascii="Times New Roman" w:eastAsia="Times New Roman" w:hAnsi="Times New Roman" w:cs="Times New Roman"/>
        </w:rPr>
        <w:t>Corporation;</w:t>
      </w:r>
      <w:proofErr w:type="gramEnd"/>
    </w:p>
    <w:p w14:paraId="110FA716" w14:textId="77777777" w:rsidR="00600002" w:rsidRDefault="00AB02BE" w:rsidP="00C55A02">
      <w:pPr>
        <w:pStyle w:val="ListParagraph"/>
        <w:numPr>
          <w:ilvl w:val="0"/>
          <w:numId w:val="3"/>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 xml:space="preserve">whether the </w:t>
      </w:r>
      <w:r>
        <w:rPr>
          <w:rFonts w:ascii="Times New Roman" w:eastAsia="Times New Roman" w:hAnsi="Times New Roman" w:cs="Times New Roman"/>
        </w:rPr>
        <w:t>Interested T</w:t>
      </w:r>
      <w:r w:rsidRPr="00320325">
        <w:rPr>
          <w:rFonts w:ascii="Times New Roman" w:eastAsia="Times New Roman" w:hAnsi="Times New Roman" w:cs="Times New Roman"/>
        </w:rPr>
        <w:t xml:space="preserve">ransaction with the Related Party is proposed to be, or was, </w:t>
      </w:r>
      <w:proofErr w:type="gramStart"/>
      <w:r w:rsidRPr="00320325">
        <w:rPr>
          <w:rFonts w:ascii="Times New Roman" w:eastAsia="Times New Roman" w:hAnsi="Times New Roman" w:cs="Times New Roman"/>
        </w:rPr>
        <w:t>entered into</w:t>
      </w:r>
      <w:proofErr w:type="gramEnd"/>
      <w:r w:rsidRPr="00320325">
        <w:rPr>
          <w:rFonts w:ascii="Times New Roman" w:eastAsia="Times New Roman" w:hAnsi="Times New Roman" w:cs="Times New Roman"/>
        </w:rPr>
        <w:t xml:space="preserve"> on terms</w:t>
      </w:r>
      <w:r>
        <w:rPr>
          <w:rFonts w:ascii="Times New Roman" w:eastAsia="Times New Roman" w:hAnsi="Times New Roman" w:cs="Times New Roman"/>
        </w:rPr>
        <w:t xml:space="preserve"> </w:t>
      </w:r>
      <w:r w:rsidRPr="00320325">
        <w:rPr>
          <w:rFonts w:ascii="Times New Roman" w:eastAsia="Times New Roman" w:hAnsi="Times New Roman" w:cs="Times New Roman"/>
        </w:rPr>
        <w:t>no less favorable to the Corporation than terms that could have been reached with an unrelated</w:t>
      </w:r>
      <w:r>
        <w:rPr>
          <w:rFonts w:ascii="Times New Roman" w:eastAsia="Times New Roman" w:hAnsi="Times New Roman" w:cs="Times New Roman"/>
        </w:rPr>
        <w:t xml:space="preserve"> third </w:t>
      </w:r>
      <w:proofErr w:type="gramStart"/>
      <w:r w:rsidRPr="00320325">
        <w:rPr>
          <w:rFonts w:ascii="Times New Roman" w:eastAsia="Times New Roman" w:hAnsi="Times New Roman" w:cs="Times New Roman"/>
        </w:rPr>
        <w:t>party;</w:t>
      </w:r>
      <w:proofErr w:type="gramEnd"/>
    </w:p>
    <w:p w14:paraId="5F152FF8" w14:textId="77777777" w:rsidR="00600002" w:rsidRDefault="00AB02BE" w:rsidP="00C55A02">
      <w:pPr>
        <w:pStyle w:val="ListParagraph"/>
        <w:numPr>
          <w:ilvl w:val="0"/>
          <w:numId w:val="3"/>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 xml:space="preserve">the purpose of, and the potential benefits to the Corporation of, the Interested </w:t>
      </w:r>
      <w:proofErr w:type="gramStart"/>
      <w:r w:rsidRPr="00320325">
        <w:rPr>
          <w:rFonts w:ascii="Times New Roman" w:eastAsia="Times New Roman" w:hAnsi="Times New Roman" w:cs="Times New Roman"/>
        </w:rPr>
        <w:t>Transaction;</w:t>
      </w:r>
      <w:proofErr w:type="gramEnd"/>
    </w:p>
    <w:p w14:paraId="45172103" w14:textId="77777777" w:rsidR="00600002" w:rsidRDefault="00AB02BE" w:rsidP="00C55A02">
      <w:pPr>
        <w:pStyle w:val="ListParagraph"/>
        <w:numPr>
          <w:ilvl w:val="0"/>
          <w:numId w:val="3"/>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required public disclosure, if any; and</w:t>
      </w:r>
    </w:p>
    <w:p w14:paraId="5C3A2575" w14:textId="77777777" w:rsidR="00600002" w:rsidRDefault="00AB02BE" w:rsidP="00C55A02">
      <w:pPr>
        <w:pStyle w:val="ListParagraph"/>
        <w:numPr>
          <w:ilvl w:val="0"/>
          <w:numId w:val="3"/>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any other information regarding the Interested Transaction or the Related Party in the context</w:t>
      </w:r>
      <w:r>
        <w:rPr>
          <w:rFonts w:ascii="Times New Roman" w:eastAsia="Times New Roman" w:hAnsi="Times New Roman" w:cs="Times New Roman"/>
        </w:rPr>
        <w:t xml:space="preserve"> </w:t>
      </w:r>
      <w:r w:rsidRPr="00320325">
        <w:rPr>
          <w:rFonts w:ascii="Times New Roman" w:eastAsia="Times New Roman" w:hAnsi="Times New Roman" w:cs="Times New Roman"/>
        </w:rPr>
        <w:t xml:space="preserve">of the proposed transaction that would be material to investors </w:t>
      </w:r>
      <w:proofErr w:type="gramStart"/>
      <w:r w:rsidRPr="00320325">
        <w:rPr>
          <w:rFonts w:ascii="Times New Roman" w:eastAsia="Times New Roman" w:hAnsi="Times New Roman" w:cs="Times New Roman"/>
        </w:rPr>
        <w:t>in light of</w:t>
      </w:r>
      <w:proofErr w:type="gramEnd"/>
      <w:r w:rsidRPr="00320325">
        <w:rPr>
          <w:rFonts w:ascii="Times New Roman" w:eastAsia="Times New Roman" w:hAnsi="Times New Roman" w:cs="Times New Roman"/>
        </w:rPr>
        <w:t xml:space="preserve"> the circumstances of</w:t>
      </w:r>
      <w:r>
        <w:rPr>
          <w:rFonts w:ascii="Times New Roman" w:eastAsia="Times New Roman" w:hAnsi="Times New Roman" w:cs="Times New Roman"/>
        </w:rPr>
        <w:t xml:space="preserve"> </w:t>
      </w:r>
      <w:r w:rsidRPr="00320325">
        <w:rPr>
          <w:rFonts w:ascii="Times New Roman" w:eastAsia="Times New Roman" w:hAnsi="Times New Roman" w:cs="Times New Roman"/>
        </w:rPr>
        <w:t>the particular transaction.</w:t>
      </w:r>
    </w:p>
    <w:p w14:paraId="69A7A8A3" w14:textId="1A6DE0D2" w:rsidR="00600002" w:rsidRPr="00320325" w:rsidRDefault="00AB02BE" w:rsidP="00C55A02">
      <w:pPr>
        <w:spacing w:after="240"/>
        <w:jc w:val="both"/>
        <w:rPr>
          <w:rFonts w:ascii="Times New Roman" w:eastAsia="Times New Roman" w:hAnsi="Times New Roman" w:cs="Times New Roman"/>
        </w:rPr>
      </w:pPr>
      <w:r>
        <w:rPr>
          <w:rFonts w:ascii="Times New Roman" w:eastAsia="Times New Roman" w:hAnsi="Times New Roman" w:cs="Times New Roman"/>
        </w:rPr>
        <w:tab/>
      </w:r>
      <w:r w:rsidRPr="00320325">
        <w:rPr>
          <w:rFonts w:ascii="Times New Roman" w:eastAsia="Times New Roman" w:hAnsi="Times New Roman" w:cs="Times New Roman"/>
        </w:rPr>
        <w:t xml:space="preserve">The </w:t>
      </w:r>
      <w:r>
        <w:rPr>
          <w:rFonts w:ascii="Times New Roman" w:eastAsia="Times New Roman" w:hAnsi="Times New Roman" w:cs="Times New Roman"/>
        </w:rPr>
        <w:t>Nominating &amp; Governance</w:t>
      </w:r>
      <w:r w:rsidRPr="001A6BD1">
        <w:rPr>
          <w:rFonts w:ascii="Times New Roman" w:eastAsia="Times New Roman" w:hAnsi="Times New Roman" w:cs="Times New Roman"/>
        </w:rPr>
        <w:t xml:space="preserve"> Committee </w:t>
      </w:r>
      <w:r w:rsidRPr="00320325">
        <w:rPr>
          <w:rFonts w:ascii="Times New Roman" w:eastAsia="Times New Roman" w:hAnsi="Times New Roman" w:cs="Times New Roman"/>
        </w:rPr>
        <w:t xml:space="preserve">will review all relevant information </w:t>
      </w:r>
      <w:r>
        <w:rPr>
          <w:rFonts w:ascii="Times New Roman" w:eastAsia="Times New Roman" w:hAnsi="Times New Roman" w:cs="Times New Roman"/>
        </w:rPr>
        <w:t xml:space="preserve">reasonably </w:t>
      </w:r>
      <w:r w:rsidRPr="00320325">
        <w:rPr>
          <w:rFonts w:ascii="Times New Roman" w:eastAsia="Times New Roman" w:hAnsi="Times New Roman" w:cs="Times New Roman"/>
        </w:rPr>
        <w:t xml:space="preserve">available to it about </w:t>
      </w:r>
      <w:r>
        <w:rPr>
          <w:rFonts w:ascii="Times New Roman" w:eastAsia="Times New Roman" w:hAnsi="Times New Roman" w:cs="Times New Roman"/>
        </w:rPr>
        <w:t>the Interested Transaction.</w:t>
      </w:r>
      <w:r w:rsidR="00C55A02">
        <w:rPr>
          <w:rFonts w:ascii="Times New Roman" w:eastAsia="Times New Roman" w:hAnsi="Times New Roman" w:cs="Times New Roman"/>
        </w:rPr>
        <w:t xml:space="preserve"> </w:t>
      </w:r>
      <w:r>
        <w:rPr>
          <w:rFonts w:ascii="Times New Roman" w:eastAsia="Times New Roman" w:hAnsi="Times New Roman" w:cs="Times New Roman"/>
        </w:rPr>
        <w:t xml:space="preserve">The Nominating &amp; Governance </w:t>
      </w:r>
      <w:r w:rsidRPr="001A6BD1">
        <w:rPr>
          <w:rFonts w:ascii="Times New Roman" w:eastAsia="Times New Roman" w:hAnsi="Times New Roman" w:cs="Times New Roman"/>
        </w:rPr>
        <w:t xml:space="preserve">Committee </w:t>
      </w:r>
      <w:r w:rsidRPr="00320325">
        <w:rPr>
          <w:rFonts w:ascii="Times New Roman" w:eastAsia="Times New Roman" w:hAnsi="Times New Roman" w:cs="Times New Roman"/>
        </w:rPr>
        <w:t>may a</w:t>
      </w:r>
      <w:r>
        <w:rPr>
          <w:rFonts w:ascii="Times New Roman" w:eastAsia="Times New Roman" w:hAnsi="Times New Roman" w:cs="Times New Roman"/>
        </w:rPr>
        <w:t xml:space="preserve">pprove or ratify the Interested </w:t>
      </w:r>
      <w:r w:rsidRPr="00320325">
        <w:rPr>
          <w:rFonts w:ascii="Times New Roman" w:eastAsia="Times New Roman" w:hAnsi="Times New Roman" w:cs="Times New Roman"/>
        </w:rPr>
        <w:t xml:space="preserve">Transaction only if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Pr>
          <w:rFonts w:ascii="Times New Roman" w:eastAsia="Times New Roman" w:hAnsi="Times New Roman" w:cs="Times New Roman"/>
        </w:rPr>
        <w:t xml:space="preserve">determines in good </w:t>
      </w:r>
      <w:r w:rsidRPr="00320325">
        <w:rPr>
          <w:rFonts w:ascii="Times New Roman" w:eastAsia="Times New Roman" w:hAnsi="Times New Roman" w:cs="Times New Roman"/>
        </w:rPr>
        <w:t xml:space="preserve">faith that, under </w:t>
      </w:r>
      <w:proofErr w:type="gramStart"/>
      <w:r w:rsidRPr="00320325">
        <w:rPr>
          <w:rFonts w:ascii="Times New Roman" w:eastAsia="Times New Roman" w:hAnsi="Times New Roman" w:cs="Times New Roman"/>
        </w:rPr>
        <w:t>all of</w:t>
      </w:r>
      <w:proofErr w:type="gramEnd"/>
      <w:r w:rsidRPr="00320325">
        <w:rPr>
          <w:rFonts w:ascii="Times New Roman" w:eastAsia="Times New Roman" w:hAnsi="Times New Roman" w:cs="Times New Roman"/>
        </w:rPr>
        <w:t xml:space="preserve"> the circumstances, the transaction is fair as to the Corporation. The </w:t>
      </w:r>
      <w:r>
        <w:rPr>
          <w:rFonts w:ascii="Times New Roman" w:eastAsia="Times New Roman" w:hAnsi="Times New Roman" w:cs="Times New Roman"/>
        </w:rPr>
        <w:t xml:space="preserve">Nominating &amp; Governance </w:t>
      </w:r>
      <w:r w:rsidRPr="001A6BD1">
        <w:rPr>
          <w:rFonts w:ascii="Times New Roman" w:eastAsia="Times New Roman" w:hAnsi="Times New Roman" w:cs="Times New Roman"/>
        </w:rPr>
        <w:t xml:space="preserve">Committee </w:t>
      </w:r>
      <w:r w:rsidRPr="00320325">
        <w:rPr>
          <w:rFonts w:ascii="Times New Roman" w:eastAsia="Times New Roman" w:hAnsi="Times New Roman" w:cs="Times New Roman"/>
        </w:rPr>
        <w:t>may impose such conditions as it deems appropriate on the Corporation or the</w:t>
      </w:r>
      <w:r>
        <w:rPr>
          <w:rFonts w:ascii="Times New Roman" w:eastAsia="Times New Roman" w:hAnsi="Times New Roman" w:cs="Times New Roman"/>
        </w:rPr>
        <w:t xml:space="preserve"> </w:t>
      </w:r>
      <w:r w:rsidRPr="00320325">
        <w:rPr>
          <w:rFonts w:ascii="Times New Roman" w:eastAsia="Times New Roman" w:hAnsi="Times New Roman" w:cs="Times New Roman"/>
        </w:rPr>
        <w:t>Related Party in connection with approval of the Interested Transaction.</w:t>
      </w:r>
    </w:p>
    <w:p w14:paraId="6A0D504E" w14:textId="33434FA3" w:rsidR="005410CD" w:rsidRDefault="00AB02BE" w:rsidP="00C55A02">
      <w:pPr>
        <w:spacing w:after="240"/>
        <w:jc w:val="both"/>
        <w:rPr>
          <w:rFonts w:ascii="Times New Roman" w:eastAsia="Times New Roman" w:hAnsi="Times New Roman" w:cs="Times New Roman"/>
        </w:rPr>
      </w:pPr>
      <w:r>
        <w:rPr>
          <w:rFonts w:ascii="Times New Roman" w:eastAsia="Times New Roman" w:hAnsi="Times New Roman" w:cs="Times New Roman"/>
        </w:rPr>
        <w:tab/>
      </w:r>
      <w:r w:rsidRPr="00320325">
        <w:rPr>
          <w:rFonts w:ascii="Times New Roman" w:eastAsia="Times New Roman" w:hAnsi="Times New Roman" w:cs="Times New Roman"/>
        </w:rPr>
        <w:t>The review, approval or ratification of a transaction, arrangement or relat</w:t>
      </w:r>
      <w:r>
        <w:rPr>
          <w:rFonts w:ascii="Times New Roman" w:eastAsia="Times New Roman" w:hAnsi="Times New Roman" w:cs="Times New Roman"/>
        </w:rPr>
        <w:t xml:space="preserve">ionship pursuant to this Policy </w:t>
      </w:r>
      <w:r w:rsidRPr="00320325">
        <w:rPr>
          <w:rFonts w:ascii="Times New Roman" w:eastAsia="Times New Roman" w:hAnsi="Times New Roman" w:cs="Times New Roman"/>
        </w:rPr>
        <w:t>does not necessarily imply that such transaction, arrangement or relationship is r</w:t>
      </w:r>
      <w:r>
        <w:rPr>
          <w:rFonts w:ascii="Times New Roman" w:eastAsia="Times New Roman" w:hAnsi="Times New Roman" w:cs="Times New Roman"/>
        </w:rPr>
        <w:t xml:space="preserve">equired to be disclosed </w:t>
      </w:r>
      <w:r w:rsidRPr="00320325">
        <w:rPr>
          <w:rFonts w:ascii="Times New Roman" w:eastAsia="Times New Roman" w:hAnsi="Times New Roman" w:cs="Times New Roman"/>
        </w:rPr>
        <w:t>under Item 404(a) of Regulation S-K promulgated by the Sec</w:t>
      </w:r>
      <w:r>
        <w:rPr>
          <w:rFonts w:ascii="Times New Roman" w:eastAsia="Times New Roman" w:hAnsi="Times New Roman" w:cs="Times New Roman"/>
        </w:rPr>
        <w:t>urities and Exchange Commission (the “</w:t>
      </w:r>
      <w:r w:rsidRPr="00320325">
        <w:rPr>
          <w:rFonts w:ascii="Times New Roman" w:eastAsia="Times New Roman" w:hAnsi="Times New Roman" w:cs="Times New Roman"/>
          <w:u w:val="single"/>
        </w:rPr>
        <w:t>SEC</w:t>
      </w:r>
      <w:r>
        <w:rPr>
          <w:rFonts w:ascii="Times New Roman" w:eastAsia="Times New Roman" w:hAnsi="Times New Roman" w:cs="Times New Roman"/>
        </w:rPr>
        <w:t>”)</w:t>
      </w:r>
      <w:r w:rsidRPr="00320325">
        <w:rPr>
          <w:rFonts w:ascii="Times New Roman" w:eastAsia="Times New Roman" w:hAnsi="Times New Roman" w:cs="Times New Roman"/>
        </w:rPr>
        <w:t>.</w:t>
      </w:r>
    </w:p>
    <w:p w14:paraId="39A4A26C" w14:textId="2DF9FA8A" w:rsidR="00600002" w:rsidRPr="00461C37" w:rsidRDefault="00AB02BE" w:rsidP="00C55A02">
      <w:pPr>
        <w:keepNext/>
        <w:keepLines/>
        <w:spacing w:after="240"/>
        <w:jc w:val="both"/>
        <w:rPr>
          <w:rFonts w:ascii="Times New Roman" w:eastAsia="Times New Roman" w:hAnsi="Times New Roman" w:cs="Times New Roman"/>
        </w:rPr>
      </w:pPr>
      <w:r w:rsidRPr="00320325">
        <w:rPr>
          <w:rFonts w:ascii="Times New Roman" w:eastAsia="Times New Roman" w:hAnsi="Times New Roman" w:cs="Times New Roman"/>
          <w:bCs/>
          <w:i/>
          <w:iCs/>
        </w:rPr>
        <w:lastRenderedPageBreak/>
        <w:t>Standing Pre-Approval for Certain Interested Transactions</w:t>
      </w:r>
      <w:r w:rsidRPr="00461C37">
        <w:rPr>
          <w:rFonts w:ascii="Times New Roman" w:eastAsia="Times New Roman" w:hAnsi="Times New Roman" w:cs="Times New Roman"/>
        </w:rPr>
        <w:t xml:space="preserve"> </w:t>
      </w:r>
    </w:p>
    <w:p w14:paraId="6D1780DE" w14:textId="77777777" w:rsidR="00600002" w:rsidRDefault="00AB02BE" w:rsidP="000203A2">
      <w:pPr>
        <w:keepNext/>
        <w:keepLines/>
        <w:spacing w:after="240"/>
        <w:ind w:firstLine="720"/>
        <w:jc w:val="both"/>
        <w:rPr>
          <w:rFonts w:ascii="Times New Roman" w:eastAsia="Times New Roman" w:hAnsi="Times New Roman" w:cs="Times New Roman"/>
        </w:rPr>
      </w:pPr>
      <w:r>
        <w:rPr>
          <w:rFonts w:ascii="Times New Roman" w:eastAsia="Times New Roman" w:hAnsi="Times New Roman" w:cs="Times New Roman"/>
        </w:rPr>
        <w:t>Notwithstanding the foregoing, t</w:t>
      </w:r>
      <w:r w:rsidRPr="001A6BD1">
        <w:rPr>
          <w:rFonts w:ascii="Times New Roman" w:eastAsia="Times New Roman" w:hAnsi="Times New Roman" w:cs="Times New Roman"/>
        </w:rPr>
        <w:t xml:space="preserve">he following Interested Transactions are deemed to be pre-approved by the </w:t>
      </w:r>
      <w:r>
        <w:rPr>
          <w:rFonts w:ascii="Times New Roman" w:eastAsia="Times New Roman" w:hAnsi="Times New Roman" w:cs="Times New Roman"/>
        </w:rPr>
        <w:t>Nominating &amp; Governance Committee</w:t>
      </w:r>
      <w:r w:rsidRPr="001A6BD1">
        <w:rPr>
          <w:rFonts w:ascii="Times New Roman" w:eastAsia="Times New Roman" w:hAnsi="Times New Roman" w:cs="Times New Roman"/>
        </w:rPr>
        <w:t xml:space="preserve">: </w:t>
      </w:r>
    </w:p>
    <w:p w14:paraId="59F0B1FA" w14:textId="3AF554B6" w:rsidR="00600002" w:rsidRPr="00320325" w:rsidRDefault="00AB02BE" w:rsidP="00C55A02">
      <w:pPr>
        <w:pStyle w:val="ListParagraph"/>
        <w:numPr>
          <w:ilvl w:val="0"/>
          <w:numId w:val="2"/>
        </w:numPr>
        <w:spacing w:after="240"/>
        <w:contextualSpacing w:val="0"/>
        <w:jc w:val="both"/>
        <w:rPr>
          <w:rFonts w:ascii="Times New Roman" w:eastAsia="Times New Roman" w:hAnsi="Times New Roman" w:cs="Times New Roman"/>
        </w:rPr>
      </w:pPr>
      <w:r w:rsidRPr="00320325">
        <w:rPr>
          <w:rFonts w:ascii="Times New Roman" w:eastAsia="Times New Roman" w:hAnsi="Times New Roman" w:cs="Times New Roman"/>
        </w:rPr>
        <w:t xml:space="preserve">The initial hiring and on-going employment in a non-executive position with the Corporation of an immediate family member of an executive officer, director, nominee for election as a director or a </w:t>
      </w:r>
      <w:r w:rsidR="000203A2">
        <w:rPr>
          <w:rFonts w:ascii="Times New Roman" w:eastAsia="Times New Roman" w:hAnsi="Times New Roman" w:cs="Times New Roman"/>
        </w:rPr>
        <w:t xml:space="preserve">beneficial owner of </w:t>
      </w:r>
      <w:r w:rsidRPr="00320325">
        <w:rPr>
          <w:rFonts w:ascii="Times New Roman" w:eastAsia="Times New Roman" w:hAnsi="Times New Roman" w:cs="Times New Roman"/>
        </w:rPr>
        <w:t xml:space="preserve">greater than </w:t>
      </w:r>
      <w:r>
        <w:rPr>
          <w:rFonts w:ascii="Times New Roman" w:eastAsia="Times New Roman" w:hAnsi="Times New Roman" w:cs="Times New Roman"/>
        </w:rPr>
        <w:t xml:space="preserve">five </w:t>
      </w:r>
      <w:r w:rsidRPr="00320325">
        <w:rPr>
          <w:rFonts w:ascii="Times New Roman" w:eastAsia="Times New Roman" w:hAnsi="Times New Roman" w:cs="Times New Roman"/>
        </w:rPr>
        <w:t xml:space="preserve">percent </w:t>
      </w:r>
      <w:r>
        <w:rPr>
          <w:rFonts w:ascii="Times New Roman" w:eastAsia="Times New Roman" w:hAnsi="Times New Roman" w:cs="Times New Roman"/>
        </w:rPr>
        <w:t>(5%)</w:t>
      </w:r>
      <w:r w:rsidRPr="005D5313">
        <w:rPr>
          <w:rFonts w:ascii="Times New Roman" w:eastAsia="Times New Roman" w:hAnsi="Times New Roman" w:cs="Times New Roman"/>
        </w:rPr>
        <w:t xml:space="preserve"> </w:t>
      </w:r>
      <w:r w:rsidRPr="00320325">
        <w:rPr>
          <w:rFonts w:ascii="Times New Roman" w:eastAsia="Times New Roman" w:hAnsi="Times New Roman" w:cs="Times New Roman"/>
        </w:rPr>
        <w:t xml:space="preserve">of the Corporation’s common </w:t>
      </w:r>
      <w:proofErr w:type="gramStart"/>
      <w:r w:rsidRPr="00320325">
        <w:rPr>
          <w:rFonts w:ascii="Times New Roman" w:eastAsia="Times New Roman" w:hAnsi="Times New Roman" w:cs="Times New Roman"/>
        </w:rPr>
        <w:t>stock;</w:t>
      </w:r>
      <w:proofErr w:type="gramEnd"/>
      <w:r w:rsidRPr="00320325">
        <w:rPr>
          <w:rFonts w:ascii="Times New Roman" w:eastAsia="Times New Roman" w:hAnsi="Times New Roman" w:cs="Times New Roman"/>
        </w:rPr>
        <w:t xml:space="preserve"> </w:t>
      </w:r>
    </w:p>
    <w:p w14:paraId="54204C20" w14:textId="77777777" w:rsidR="00600002" w:rsidRDefault="00AB02BE" w:rsidP="00C55A02">
      <w:pPr>
        <w:pStyle w:val="ListParagraph"/>
        <w:numPr>
          <w:ilvl w:val="0"/>
          <w:numId w:val="2"/>
        </w:numPr>
        <w:spacing w:after="240"/>
        <w:contextualSpacing w:val="0"/>
        <w:jc w:val="both"/>
        <w:rPr>
          <w:rFonts w:ascii="Times New Roman" w:eastAsia="Times New Roman" w:hAnsi="Times New Roman" w:cs="Times New Roman"/>
        </w:rPr>
      </w:pPr>
      <w:r w:rsidRPr="001A6BD1">
        <w:rPr>
          <w:rFonts w:ascii="Times New Roman" w:eastAsia="Times New Roman" w:hAnsi="Times New Roman" w:cs="Times New Roman"/>
        </w:rPr>
        <w:t xml:space="preserve">Any employment by the Corporation of </w:t>
      </w:r>
      <w:r>
        <w:rPr>
          <w:rFonts w:ascii="Times New Roman" w:eastAsia="Times New Roman" w:hAnsi="Times New Roman" w:cs="Times New Roman"/>
        </w:rPr>
        <w:t xml:space="preserve">an </w:t>
      </w:r>
      <w:r w:rsidRPr="001A6BD1">
        <w:rPr>
          <w:rFonts w:ascii="Times New Roman" w:eastAsia="Times New Roman" w:hAnsi="Times New Roman" w:cs="Times New Roman"/>
        </w:rPr>
        <w:t>executive officer or a</w:t>
      </w:r>
      <w:r>
        <w:rPr>
          <w:rFonts w:ascii="Times New Roman" w:eastAsia="Times New Roman" w:hAnsi="Times New Roman" w:cs="Times New Roman"/>
        </w:rPr>
        <w:t>ny</w:t>
      </w:r>
      <w:r w:rsidRPr="001A6BD1">
        <w:rPr>
          <w:rFonts w:ascii="Times New Roman" w:eastAsia="Times New Roman" w:hAnsi="Times New Roman" w:cs="Times New Roman"/>
        </w:rPr>
        <w:t xml:space="preserve"> transaction with an executive officer of the Corporation</w:t>
      </w:r>
      <w:r>
        <w:rPr>
          <w:rFonts w:ascii="Times New Roman" w:eastAsia="Times New Roman" w:hAnsi="Times New Roman" w:cs="Times New Roman"/>
        </w:rPr>
        <w:t>, in each case</w:t>
      </w:r>
      <w:r w:rsidRPr="001A6BD1">
        <w:rPr>
          <w:rFonts w:ascii="Times New Roman" w:eastAsia="Times New Roman" w:hAnsi="Times New Roman" w:cs="Times New Roman"/>
        </w:rPr>
        <w:t xml:space="preserve"> if: </w:t>
      </w:r>
    </w:p>
    <w:p w14:paraId="2AA821F2" w14:textId="77777777" w:rsidR="00600002" w:rsidRDefault="00AB02BE" w:rsidP="00C55A02">
      <w:pPr>
        <w:pStyle w:val="ListParagraph"/>
        <w:numPr>
          <w:ilvl w:val="1"/>
          <w:numId w:val="1"/>
        </w:numPr>
        <w:spacing w:after="240"/>
        <w:contextualSpacing w:val="0"/>
        <w:jc w:val="both"/>
        <w:rPr>
          <w:rFonts w:ascii="Times New Roman" w:eastAsia="Times New Roman" w:hAnsi="Times New Roman" w:cs="Times New Roman"/>
        </w:rPr>
      </w:pPr>
      <w:r w:rsidRPr="001A6BD1">
        <w:rPr>
          <w:rFonts w:ascii="Times New Roman" w:eastAsia="Times New Roman" w:hAnsi="Times New Roman" w:cs="Times New Roman"/>
        </w:rPr>
        <w:t>the related compensation is required to be reported in the Corporation’s proxy statement under Item 402 of the SEC’s compensation disclosure requirements; or</w:t>
      </w:r>
    </w:p>
    <w:p w14:paraId="03D0AE3D" w14:textId="77777777" w:rsidR="00600002" w:rsidRDefault="00AB02BE" w:rsidP="00C55A02">
      <w:pPr>
        <w:pStyle w:val="ListParagraph"/>
        <w:numPr>
          <w:ilvl w:val="1"/>
          <w:numId w:val="1"/>
        </w:numPr>
        <w:spacing w:after="240"/>
        <w:contextualSpacing w:val="0"/>
        <w:jc w:val="both"/>
        <w:rPr>
          <w:rFonts w:ascii="Times New Roman" w:eastAsia="Times New Roman" w:hAnsi="Times New Roman" w:cs="Times New Roman"/>
        </w:rPr>
      </w:pPr>
      <w:r w:rsidRPr="001A6BD1">
        <w:rPr>
          <w:rFonts w:ascii="Times New Roman" w:eastAsia="Times New Roman" w:hAnsi="Times New Roman" w:cs="Times New Roman"/>
        </w:rPr>
        <w:t xml:space="preserve">the executive officer is not an immediate family member of another executive officer or director of the Corporation, the related compensation would be reported in the Corporation’s proxy statement under Item 402 of the SEC’s compensation disclosure requirements if the executive officer was a </w:t>
      </w:r>
      <w:r>
        <w:rPr>
          <w:rFonts w:ascii="Times New Roman" w:eastAsia="Times New Roman" w:hAnsi="Times New Roman" w:cs="Times New Roman"/>
        </w:rPr>
        <w:t>“</w:t>
      </w:r>
      <w:r w:rsidRPr="001A6BD1">
        <w:rPr>
          <w:rFonts w:ascii="Times New Roman" w:eastAsia="Times New Roman" w:hAnsi="Times New Roman" w:cs="Times New Roman"/>
        </w:rPr>
        <w:t>named executive officer</w:t>
      </w:r>
      <w:r>
        <w:rPr>
          <w:rFonts w:ascii="Times New Roman" w:eastAsia="Times New Roman" w:hAnsi="Times New Roman" w:cs="Times New Roman"/>
        </w:rPr>
        <w:t>”</w:t>
      </w:r>
      <w:r w:rsidRPr="001A6BD1">
        <w:rPr>
          <w:rFonts w:ascii="Times New Roman" w:eastAsia="Times New Roman" w:hAnsi="Times New Roman" w:cs="Times New Roman"/>
        </w:rPr>
        <w:t xml:space="preserve"> (as defined under such requirements), and the Corporation</w:t>
      </w:r>
      <w:r>
        <w:rPr>
          <w:rFonts w:ascii="Times New Roman" w:eastAsia="Times New Roman" w:hAnsi="Times New Roman" w:cs="Times New Roman"/>
        </w:rPr>
        <w:t>’</w:t>
      </w:r>
      <w:r w:rsidRPr="001A6BD1">
        <w:rPr>
          <w:rFonts w:ascii="Times New Roman" w:eastAsia="Times New Roman" w:hAnsi="Times New Roman" w:cs="Times New Roman"/>
        </w:rPr>
        <w:t xml:space="preserve">s Compensation Committee approved (or recommended that the Board approve) such compensation. </w:t>
      </w:r>
    </w:p>
    <w:p w14:paraId="0F924BCE" w14:textId="04C81B62" w:rsidR="00600002" w:rsidRDefault="00AB02BE" w:rsidP="00C55A02">
      <w:pPr>
        <w:pStyle w:val="ListParagraph"/>
        <w:numPr>
          <w:ilvl w:val="0"/>
          <w:numId w:val="2"/>
        </w:numPr>
        <w:spacing w:after="240"/>
        <w:contextualSpacing w:val="0"/>
        <w:jc w:val="both"/>
        <w:rPr>
          <w:rFonts w:ascii="Times New Roman" w:eastAsia="Times New Roman" w:hAnsi="Times New Roman" w:cs="Times New Roman"/>
        </w:rPr>
      </w:pPr>
      <w:r w:rsidRPr="001A6BD1">
        <w:rPr>
          <w:rFonts w:ascii="Times New Roman" w:eastAsia="Times New Roman" w:hAnsi="Times New Roman" w:cs="Times New Roman"/>
        </w:rPr>
        <w:t xml:space="preserve">Any compensation paid to a director if the related compensation is required to be reported in the Corporation’s proxy statement under Item 402 of the SEC’s compensation disclosure </w:t>
      </w:r>
      <w:proofErr w:type="gramStart"/>
      <w:r w:rsidRPr="001A6BD1">
        <w:rPr>
          <w:rFonts w:ascii="Times New Roman" w:eastAsia="Times New Roman" w:hAnsi="Times New Roman" w:cs="Times New Roman"/>
        </w:rPr>
        <w:t>requirements;</w:t>
      </w:r>
      <w:proofErr w:type="gramEnd"/>
    </w:p>
    <w:p w14:paraId="24E2988F" w14:textId="70BF9D0F" w:rsidR="00600002" w:rsidRDefault="00AB02BE" w:rsidP="00C55A02">
      <w:pPr>
        <w:pStyle w:val="ListParagraph"/>
        <w:numPr>
          <w:ilvl w:val="0"/>
          <w:numId w:val="2"/>
        </w:numPr>
        <w:spacing w:after="240"/>
        <w:contextualSpacing w:val="0"/>
        <w:jc w:val="both"/>
        <w:rPr>
          <w:rFonts w:ascii="Times New Roman" w:eastAsia="Times New Roman" w:hAnsi="Times New Roman" w:cs="Times New Roman"/>
        </w:rPr>
      </w:pPr>
      <w:r w:rsidRPr="001A6BD1">
        <w:rPr>
          <w:rFonts w:ascii="Times New Roman" w:eastAsia="Times New Roman" w:hAnsi="Times New Roman" w:cs="Times New Roman"/>
        </w:rPr>
        <w:t>A</w:t>
      </w:r>
      <w:r>
        <w:rPr>
          <w:rFonts w:ascii="Times New Roman" w:eastAsia="Times New Roman" w:hAnsi="Times New Roman" w:cs="Times New Roman"/>
        </w:rPr>
        <w:t>ny</w:t>
      </w:r>
      <w:r w:rsidRPr="001A6BD1">
        <w:rPr>
          <w:rFonts w:ascii="Times New Roman" w:eastAsia="Times New Roman" w:hAnsi="Times New Roman" w:cs="Times New Roman"/>
        </w:rPr>
        <w:t xml:space="preserve"> transaction with another company </w:t>
      </w:r>
      <w:proofErr w:type="gramStart"/>
      <w:r w:rsidRPr="001A6BD1">
        <w:rPr>
          <w:rFonts w:ascii="Times New Roman" w:eastAsia="Times New Roman" w:hAnsi="Times New Roman" w:cs="Times New Roman"/>
        </w:rPr>
        <w:t>at</w:t>
      </w:r>
      <w:proofErr w:type="gramEnd"/>
      <w:r w:rsidRPr="001A6BD1">
        <w:rPr>
          <w:rFonts w:ascii="Times New Roman" w:eastAsia="Times New Roman" w:hAnsi="Times New Roman" w:cs="Times New Roman"/>
        </w:rPr>
        <w:t xml:space="preserve"> which an executive officer, director, nominee for election as a director or a </w:t>
      </w:r>
      <w:r w:rsidR="000203A2">
        <w:rPr>
          <w:rFonts w:ascii="Times New Roman" w:eastAsia="Times New Roman" w:hAnsi="Times New Roman" w:cs="Times New Roman"/>
        </w:rPr>
        <w:t xml:space="preserve">beneficial owner of </w:t>
      </w:r>
      <w:r w:rsidRPr="001A6BD1">
        <w:rPr>
          <w:rFonts w:ascii="Times New Roman" w:eastAsia="Times New Roman" w:hAnsi="Times New Roman" w:cs="Times New Roman"/>
        </w:rPr>
        <w:t xml:space="preserve">greater than </w:t>
      </w:r>
      <w:r>
        <w:rPr>
          <w:rFonts w:ascii="Times New Roman" w:eastAsia="Times New Roman" w:hAnsi="Times New Roman" w:cs="Times New Roman"/>
        </w:rPr>
        <w:t>five</w:t>
      </w:r>
      <w:r w:rsidRPr="001A6BD1">
        <w:rPr>
          <w:rFonts w:ascii="Times New Roman" w:eastAsia="Times New Roman" w:hAnsi="Times New Roman" w:cs="Times New Roman"/>
        </w:rPr>
        <w:t xml:space="preserve"> percent</w:t>
      </w:r>
      <w:r>
        <w:rPr>
          <w:rFonts w:ascii="Times New Roman" w:eastAsia="Times New Roman" w:hAnsi="Times New Roman" w:cs="Times New Roman"/>
        </w:rPr>
        <w:t xml:space="preserve"> (5%)</w:t>
      </w:r>
      <w:r w:rsidRPr="001A6BD1">
        <w:rPr>
          <w:rFonts w:ascii="Times New Roman" w:eastAsia="Times New Roman" w:hAnsi="Times New Roman" w:cs="Times New Roman"/>
        </w:rPr>
        <w:t xml:space="preserve"> of the Corporation’s common stock is an employee if the aggregate amount involved does not exceed the greater of $1,000,000</w:t>
      </w:r>
      <w:r>
        <w:rPr>
          <w:rFonts w:ascii="Times New Roman" w:eastAsia="Times New Roman" w:hAnsi="Times New Roman" w:cs="Times New Roman"/>
        </w:rPr>
        <w:t xml:space="preserve"> and</w:t>
      </w:r>
      <w:r w:rsidRPr="001A6BD1">
        <w:rPr>
          <w:rFonts w:ascii="Times New Roman" w:eastAsia="Times New Roman" w:hAnsi="Times New Roman" w:cs="Times New Roman"/>
        </w:rPr>
        <w:t xml:space="preserve"> </w:t>
      </w:r>
      <w:r>
        <w:rPr>
          <w:rFonts w:ascii="Times New Roman" w:eastAsia="Times New Roman" w:hAnsi="Times New Roman" w:cs="Times New Roman"/>
        </w:rPr>
        <w:t>two</w:t>
      </w:r>
      <w:r w:rsidRPr="001A6BD1">
        <w:rPr>
          <w:rFonts w:ascii="Times New Roman" w:eastAsia="Times New Roman" w:hAnsi="Times New Roman" w:cs="Times New Roman"/>
        </w:rPr>
        <w:t xml:space="preserve"> percent</w:t>
      </w:r>
      <w:r>
        <w:rPr>
          <w:rFonts w:ascii="Times New Roman" w:eastAsia="Times New Roman" w:hAnsi="Times New Roman" w:cs="Times New Roman"/>
        </w:rPr>
        <w:t xml:space="preserve"> (2%)</w:t>
      </w:r>
      <w:r w:rsidRPr="001A6BD1">
        <w:rPr>
          <w:rFonts w:ascii="Times New Roman" w:eastAsia="Times New Roman" w:hAnsi="Times New Roman" w:cs="Times New Roman"/>
        </w:rPr>
        <w:t xml:space="preserve"> of that company</w:t>
      </w:r>
      <w:r>
        <w:rPr>
          <w:rFonts w:ascii="Times New Roman" w:eastAsia="Times New Roman" w:hAnsi="Times New Roman" w:cs="Times New Roman"/>
        </w:rPr>
        <w:t>’</w:t>
      </w:r>
      <w:r w:rsidRPr="001A6BD1">
        <w:rPr>
          <w:rFonts w:ascii="Times New Roman" w:eastAsia="Times New Roman" w:hAnsi="Times New Roman" w:cs="Times New Roman"/>
        </w:rPr>
        <w:t xml:space="preserve">s </w:t>
      </w:r>
      <w:r>
        <w:rPr>
          <w:rFonts w:ascii="Times New Roman" w:eastAsia="Times New Roman" w:hAnsi="Times New Roman" w:cs="Times New Roman"/>
        </w:rPr>
        <w:t xml:space="preserve">consolidated </w:t>
      </w:r>
      <w:r w:rsidRPr="001A6BD1">
        <w:rPr>
          <w:rFonts w:ascii="Times New Roman" w:eastAsia="Times New Roman" w:hAnsi="Times New Roman" w:cs="Times New Roman"/>
        </w:rPr>
        <w:t xml:space="preserve">total annual </w:t>
      </w:r>
      <w:proofErr w:type="gramStart"/>
      <w:r w:rsidRPr="001A6BD1">
        <w:rPr>
          <w:rFonts w:ascii="Times New Roman" w:eastAsia="Times New Roman" w:hAnsi="Times New Roman" w:cs="Times New Roman"/>
        </w:rPr>
        <w:t>revenues;</w:t>
      </w:r>
      <w:proofErr w:type="gramEnd"/>
    </w:p>
    <w:p w14:paraId="33FCC90F" w14:textId="01F94B94" w:rsidR="00600002" w:rsidRDefault="00AB02BE" w:rsidP="00C55A02">
      <w:pPr>
        <w:pStyle w:val="ListParagraph"/>
        <w:numPr>
          <w:ilvl w:val="0"/>
          <w:numId w:val="2"/>
        </w:numPr>
        <w:spacing w:after="240"/>
        <w:contextualSpacing w:val="0"/>
        <w:jc w:val="both"/>
        <w:rPr>
          <w:rFonts w:ascii="Times New Roman" w:eastAsia="Times New Roman" w:hAnsi="Times New Roman" w:cs="Times New Roman"/>
        </w:rPr>
      </w:pPr>
      <w:r w:rsidRPr="001A6BD1">
        <w:rPr>
          <w:rFonts w:ascii="Times New Roman" w:eastAsia="Times New Roman" w:hAnsi="Times New Roman" w:cs="Times New Roman"/>
        </w:rPr>
        <w:t>A</w:t>
      </w:r>
      <w:r>
        <w:rPr>
          <w:rFonts w:ascii="Times New Roman" w:eastAsia="Times New Roman" w:hAnsi="Times New Roman" w:cs="Times New Roman"/>
        </w:rPr>
        <w:t>ny</w:t>
      </w:r>
      <w:r w:rsidRPr="001A6BD1">
        <w:rPr>
          <w:rFonts w:ascii="Times New Roman" w:eastAsia="Times New Roman" w:hAnsi="Times New Roman" w:cs="Times New Roman"/>
        </w:rPr>
        <w:t xml:space="preserve"> transaction with another company at which an immediate family member of an executive officer, director, nominee for election as a director, or a </w:t>
      </w:r>
      <w:r w:rsidR="000203A2">
        <w:rPr>
          <w:rFonts w:ascii="Times New Roman" w:eastAsia="Times New Roman" w:hAnsi="Times New Roman" w:cs="Times New Roman"/>
        </w:rPr>
        <w:t xml:space="preserve">beneficial owner of </w:t>
      </w:r>
      <w:r w:rsidRPr="001A6BD1">
        <w:rPr>
          <w:rFonts w:ascii="Times New Roman" w:eastAsia="Times New Roman" w:hAnsi="Times New Roman" w:cs="Times New Roman"/>
        </w:rPr>
        <w:t xml:space="preserve">greater than </w:t>
      </w:r>
      <w:r>
        <w:rPr>
          <w:rFonts w:ascii="Times New Roman" w:eastAsia="Times New Roman" w:hAnsi="Times New Roman" w:cs="Times New Roman"/>
        </w:rPr>
        <w:t>five</w:t>
      </w:r>
      <w:r w:rsidRPr="001A6BD1">
        <w:rPr>
          <w:rFonts w:ascii="Times New Roman" w:eastAsia="Times New Roman" w:hAnsi="Times New Roman" w:cs="Times New Roman"/>
        </w:rPr>
        <w:t xml:space="preserve"> percent</w:t>
      </w:r>
      <w:r>
        <w:rPr>
          <w:rFonts w:ascii="Times New Roman" w:eastAsia="Times New Roman" w:hAnsi="Times New Roman" w:cs="Times New Roman"/>
        </w:rPr>
        <w:t xml:space="preserve"> (5%)</w:t>
      </w:r>
      <w:r w:rsidRPr="001A6BD1">
        <w:rPr>
          <w:rFonts w:ascii="Times New Roman" w:eastAsia="Times New Roman" w:hAnsi="Times New Roman" w:cs="Times New Roman"/>
        </w:rPr>
        <w:t xml:space="preserve"> of the Corporation’s common stock is an executive officer if the aggregate amount involved does not exceed the greater of $1,000,000 </w:t>
      </w:r>
      <w:r>
        <w:rPr>
          <w:rFonts w:ascii="Times New Roman" w:eastAsia="Times New Roman" w:hAnsi="Times New Roman" w:cs="Times New Roman"/>
        </w:rPr>
        <w:t>and</w:t>
      </w:r>
      <w:r w:rsidRPr="001A6BD1">
        <w:rPr>
          <w:rFonts w:ascii="Times New Roman" w:eastAsia="Times New Roman" w:hAnsi="Times New Roman" w:cs="Times New Roman"/>
        </w:rPr>
        <w:t xml:space="preserve"> </w:t>
      </w:r>
      <w:r>
        <w:rPr>
          <w:rFonts w:ascii="Times New Roman" w:eastAsia="Times New Roman" w:hAnsi="Times New Roman" w:cs="Times New Roman"/>
        </w:rPr>
        <w:t>two</w:t>
      </w:r>
      <w:r w:rsidRPr="001A6BD1">
        <w:rPr>
          <w:rFonts w:ascii="Times New Roman" w:eastAsia="Times New Roman" w:hAnsi="Times New Roman" w:cs="Times New Roman"/>
        </w:rPr>
        <w:t xml:space="preserve"> percent</w:t>
      </w:r>
      <w:r>
        <w:rPr>
          <w:rFonts w:ascii="Times New Roman" w:eastAsia="Times New Roman" w:hAnsi="Times New Roman" w:cs="Times New Roman"/>
        </w:rPr>
        <w:t xml:space="preserve"> (2%)</w:t>
      </w:r>
      <w:r w:rsidRPr="001A6BD1">
        <w:rPr>
          <w:rFonts w:ascii="Times New Roman" w:eastAsia="Times New Roman" w:hAnsi="Times New Roman" w:cs="Times New Roman"/>
        </w:rPr>
        <w:t xml:space="preserve"> of that company</w:t>
      </w:r>
      <w:r>
        <w:rPr>
          <w:rFonts w:ascii="Times New Roman" w:eastAsia="Times New Roman" w:hAnsi="Times New Roman" w:cs="Times New Roman"/>
        </w:rPr>
        <w:t>’</w:t>
      </w:r>
      <w:r w:rsidRPr="001A6BD1">
        <w:rPr>
          <w:rFonts w:ascii="Times New Roman" w:eastAsia="Times New Roman" w:hAnsi="Times New Roman" w:cs="Times New Roman"/>
        </w:rPr>
        <w:t xml:space="preserve">s </w:t>
      </w:r>
      <w:r>
        <w:rPr>
          <w:rFonts w:ascii="Times New Roman" w:eastAsia="Times New Roman" w:hAnsi="Times New Roman" w:cs="Times New Roman"/>
        </w:rPr>
        <w:t xml:space="preserve">consolidated </w:t>
      </w:r>
      <w:r w:rsidRPr="001A6BD1">
        <w:rPr>
          <w:rFonts w:ascii="Times New Roman" w:eastAsia="Times New Roman" w:hAnsi="Times New Roman" w:cs="Times New Roman"/>
        </w:rPr>
        <w:t>total annual revenues;</w:t>
      </w:r>
    </w:p>
    <w:p w14:paraId="12FE3307" w14:textId="2EF9843A" w:rsidR="00600002" w:rsidRDefault="00AB02BE" w:rsidP="00C55A02">
      <w:pPr>
        <w:pStyle w:val="ListParagraph"/>
        <w:numPr>
          <w:ilvl w:val="0"/>
          <w:numId w:val="2"/>
        </w:numPr>
        <w:spacing w:after="240"/>
        <w:contextualSpacing w:val="0"/>
        <w:jc w:val="both"/>
        <w:rPr>
          <w:rFonts w:ascii="Times New Roman" w:eastAsia="Times New Roman" w:hAnsi="Times New Roman" w:cs="Times New Roman"/>
        </w:rPr>
      </w:pPr>
      <w:r>
        <w:rPr>
          <w:rFonts w:ascii="Times New Roman" w:eastAsia="Times New Roman" w:hAnsi="Times New Roman" w:cs="Times New Roman"/>
        </w:rPr>
        <w:t>Any c</w:t>
      </w:r>
      <w:r w:rsidRPr="001A6BD1">
        <w:rPr>
          <w:rFonts w:ascii="Times New Roman" w:eastAsia="Times New Roman" w:hAnsi="Times New Roman" w:cs="Times New Roman"/>
        </w:rPr>
        <w:t xml:space="preserve">haritable contributions, grants or endowments by the Corporation to a charitable organization, foundation or university where a Related Party is an employee if the aggregate amount involved does not exceed the greater of $1,000,000 </w:t>
      </w:r>
      <w:r>
        <w:rPr>
          <w:rFonts w:ascii="Times New Roman" w:eastAsia="Times New Roman" w:hAnsi="Times New Roman" w:cs="Times New Roman"/>
        </w:rPr>
        <w:t>and</w:t>
      </w:r>
      <w:r w:rsidRPr="001A6BD1">
        <w:rPr>
          <w:rFonts w:ascii="Times New Roman" w:eastAsia="Times New Roman" w:hAnsi="Times New Roman" w:cs="Times New Roman"/>
        </w:rPr>
        <w:t xml:space="preserve"> </w:t>
      </w:r>
      <w:r>
        <w:rPr>
          <w:rFonts w:ascii="Times New Roman" w:eastAsia="Times New Roman" w:hAnsi="Times New Roman" w:cs="Times New Roman"/>
        </w:rPr>
        <w:t>two</w:t>
      </w:r>
      <w:r w:rsidRPr="001A6BD1">
        <w:rPr>
          <w:rFonts w:ascii="Times New Roman" w:eastAsia="Times New Roman" w:hAnsi="Times New Roman" w:cs="Times New Roman"/>
        </w:rPr>
        <w:t xml:space="preserve"> percent</w:t>
      </w:r>
      <w:r>
        <w:rPr>
          <w:rFonts w:ascii="Times New Roman" w:eastAsia="Times New Roman" w:hAnsi="Times New Roman" w:cs="Times New Roman"/>
        </w:rPr>
        <w:t xml:space="preserve"> (2%)</w:t>
      </w:r>
      <w:r w:rsidRPr="001A6BD1">
        <w:rPr>
          <w:rFonts w:ascii="Times New Roman" w:eastAsia="Times New Roman" w:hAnsi="Times New Roman" w:cs="Times New Roman"/>
        </w:rPr>
        <w:t xml:space="preserve"> of the charitable organization</w:t>
      </w:r>
      <w:r>
        <w:rPr>
          <w:rFonts w:ascii="Times New Roman" w:eastAsia="Times New Roman" w:hAnsi="Times New Roman" w:cs="Times New Roman"/>
        </w:rPr>
        <w:t>’</w:t>
      </w:r>
      <w:r w:rsidRPr="001A6BD1">
        <w:rPr>
          <w:rFonts w:ascii="Times New Roman" w:eastAsia="Times New Roman" w:hAnsi="Times New Roman" w:cs="Times New Roman"/>
        </w:rPr>
        <w:t xml:space="preserve">s total annual </w:t>
      </w:r>
      <w:proofErr w:type="gramStart"/>
      <w:r w:rsidRPr="001A6BD1">
        <w:rPr>
          <w:rFonts w:ascii="Times New Roman" w:eastAsia="Times New Roman" w:hAnsi="Times New Roman" w:cs="Times New Roman"/>
        </w:rPr>
        <w:t>receipts;</w:t>
      </w:r>
      <w:proofErr w:type="gramEnd"/>
    </w:p>
    <w:p w14:paraId="1D6749DE" w14:textId="0B92EF99" w:rsidR="00600002" w:rsidRDefault="00AB02BE" w:rsidP="00C55A02">
      <w:pPr>
        <w:pStyle w:val="ListParagraph"/>
        <w:numPr>
          <w:ilvl w:val="0"/>
          <w:numId w:val="2"/>
        </w:numPr>
        <w:spacing w:after="240"/>
        <w:contextualSpacing w:val="0"/>
        <w:jc w:val="both"/>
        <w:rPr>
          <w:rFonts w:ascii="Times New Roman" w:eastAsia="Times New Roman" w:hAnsi="Times New Roman" w:cs="Times New Roman"/>
        </w:rPr>
      </w:pPr>
      <w:r w:rsidRPr="001A6BD1">
        <w:rPr>
          <w:rFonts w:ascii="Times New Roman" w:eastAsia="Times New Roman" w:hAnsi="Times New Roman" w:cs="Times New Roman"/>
        </w:rPr>
        <w:t>An</w:t>
      </w:r>
      <w:r>
        <w:rPr>
          <w:rFonts w:ascii="Times New Roman" w:eastAsia="Times New Roman" w:hAnsi="Times New Roman" w:cs="Times New Roman"/>
        </w:rPr>
        <w:t>y</w:t>
      </w:r>
      <w:r w:rsidRPr="001A6BD1">
        <w:rPr>
          <w:rFonts w:ascii="Times New Roman" w:eastAsia="Times New Roman" w:hAnsi="Times New Roman" w:cs="Times New Roman"/>
        </w:rPr>
        <w:t xml:space="preserve"> Interested Transaction where the rates or charges involved are determined pursuant to a competitive process; and</w:t>
      </w:r>
    </w:p>
    <w:p w14:paraId="1E8EA3E6" w14:textId="08BFE1FC" w:rsidR="00600002" w:rsidRDefault="00AB02BE" w:rsidP="00C55A02">
      <w:pPr>
        <w:pStyle w:val="ListParagraph"/>
        <w:numPr>
          <w:ilvl w:val="0"/>
          <w:numId w:val="2"/>
        </w:numPr>
        <w:spacing w:after="240"/>
        <w:contextualSpacing w:val="0"/>
        <w:jc w:val="both"/>
        <w:rPr>
          <w:rFonts w:ascii="Times New Roman" w:eastAsia="Times New Roman" w:hAnsi="Times New Roman" w:cs="Times New Roman"/>
        </w:rPr>
      </w:pPr>
      <w:r w:rsidRPr="001A6BD1">
        <w:rPr>
          <w:rFonts w:ascii="Times New Roman" w:eastAsia="Times New Roman" w:hAnsi="Times New Roman" w:cs="Times New Roman"/>
        </w:rPr>
        <w:lastRenderedPageBreak/>
        <w:t>An</w:t>
      </w:r>
      <w:r>
        <w:rPr>
          <w:rFonts w:ascii="Times New Roman" w:eastAsia="Times New Roman" w:hAnsi="Times New Roman" w:cs="Times New Roman"/>
        </w:rPr>
        <w:t>y</w:t>
      </w:r>
      <w:r w:rsidRPr="001A6BD1">
        <w:rPr>
          <w:rFonts w:ascii="Times New Roman" w:eastAsia="Times New Roman" w:hAnsi="Times New Roman" w:cs="Times New Roman"/>
        </w:rPr>
        <w:t xml:space="preserve"> Interested Transaction where the Related Party</w:t>
      </w:r>
      <w:r>
        <w:rPr>
          <w:rFonts w:ascii="Times New Roman" w:eastAsia="Times New Roman" w:hAnsi="Times New Roman" w:cs="Times New Roman"/>
        </w:rPr>
        <w:t>’</w:t>
      </w:r>
      <w:r w:rsidRPr="001A6BD1">
        <w:rPr>
          <w:rFonts w:ascii="Times New Roman" w:eastAsia="Times New Roman" w:hAnsi="Times New Roman" w:cs="Times New Roman"/>
        </w:rPr>
        <w:t>s interest arises solely from the ownership of the Corporation</w:t>
      </w:r>
      <w:r>
        <w:rPr>
          <w:rFonts w:ascii="Times New Roman" w:eastAsia="Times New Roman" w:hAnsi="Times New Roman" w:cs="Times New Roman"/>
        </w:rPr>
        <w:t>’</w:t>
      </w:r>
      <w:r w:rsidRPr="001A6BD1">
        <w:rPr>
          <w:rFonts w:ascii="Times New Roman" w:eastAsia="Times New Roman" w:hAnsi="Times New Roman" w:cs="Times New Roman"/>
        </w:rPr>
        <w:t>s common stock and all holders of the Corporation</w:t>
      </w:r>
      <w:r>
        <w:rPr>
          <w:rFonts w:ascii="Times New Roman" w:eastAsia="Times New Roman" w:hAnsi="Times New Roman" w:cs="Times New Roman"/>
        </w:rPr>
        <w:t>’</w:t>
      </w:r>
      <w:r w:rsidRPr="001A6BD1">
        <w:rPr>
          <w:rFonts w:ascii="Times New Roman" w:eastAsia="Times New Roman" w:hAnsi="Times New Roman" w:cs="Times New Roman"/>
        </w:rPr>
        <w:t>s common stock receive the same benefit on a pro rata basis.</w:t>
      </w:r>
    </w:p>
    <w:p w14:paraId="444611B2" w14:textId="77777777" w:rsidR="00723C77" w:rsidRDefault="00723C77" w:rsidP="00C55A02">
      <w:pPr>
        <w:spacing w:after="240"/>
        <w:jc w:val="both"/>
        <w:rPr>
          <w:rFonts w:ascii="Times New Roman" w:eastAsia="Times New Roman" w:hAnsi="Times New Roman" w:cs="Times New Roman"/>
          <w:bCs/>
          <w:i/>
          <w:iCs/>
        </w:rPr>
      </w:pPr>
      <w:r>
        <w:rPr>
          <w:rFonts w:ascii="Times New Roman" w:eastAsia="Times New Roman" w:hAnsi="Times New Roman" w:cs="Times New Roman"/>
          <w:bCs/>
          <w:i/>
          <w:iCs/>
        </w:rPr>
        <w:t xml:space="preserve">Exceptions </w:t>
      </w:r>
    </w:p>
    <w:p w14:paraId="56F303FC" w14:textId="5162E313" w:rsidR="00723C77" w:rsidRPr="00723C77" w:rsidRDefault="00723C77" w:rsidP="000831C2">
      <w:pPr>
        <w:spacing w:after="240"/>
        <w:ind w:firstLine="720"/>
        <w:jc w:val="both"/>
        <w:rPr>
          <w:rFonts w:ascii="Times New Roman" w:eastAsia="Times New Roman" w:hAnsi="Times New Roman" w:cs="Times New Roman"/>
          <w:bCs/>
        </w:rPr>
      </w:pPr>
      <w:r>
        <w:rPr>
          <w:rFonts w:ascii="Times New Roman" w:eastAsia="Times New Roman" w:hAnsi="Times New Roman" w:cs="Times New Roman"/>
          <w:bCs/>
        </w:rPr>
        <w:t xml:space="preserve">Any exceptions to the Policy must be consistent with the </w:t>
      </w:r>
      <w:r w:rsidR="000203A2">
        <w:rPr>
          <w:rFonts w:ascii="Times New Roman" w:eastAsia="Times New Roman" w:hAnsi="Times New Roman" w:cs="Times New Roman"/>
          <w:bCs/>
        </w:rPr>
        <w:t xml:space="preserve">Securities </w:t>
      </w:r>
      <w:r>
        <w:rPr>
          <w:rFonts w:ascii="Times New Roman" w:eastAsia="Times New Roman" w:hAnsi="Times New Roman" w:cs="Times New Roman"/>
          <w:bCs/>
        </w:rPr>
        <w:t>Act, including any regulations promulgated thereunder, and must be approved in advance by the Corporation’s General Counsel.</w:t>
      </w:r>
    </w:p>
    <w:p w14:paraId="67490329" w14:textId="4F890789" w:rsidR="00600002" w:rsidRPr="00D60B9D" w:rsidRDefault="00AB02BE" w:rsidP="00C55A02">
      <w:pPr>
        <w:spacing w:after="240"/>
        <w:jc w:val="both"/>
        <w:rPr>
          <w:rFonts w:ascii="Times New Roman" w:eastAsia="Times New Roman" w:hAnsi="Times New Roman" w:cs="Times New Roman"/>
          <w:bCs/>
          <w:i/>
          <w:iCs/>
        </w:rPr>
      </w:pPr>
      <w:r w:rsidRPr="00D60B9D">
        <w:rPr>
          <w:rFonts w:ascii="Times New Roman" w:eastAsia="Times New Roman" w:hAnsi="Times New Roman" w:cs="Times New Roman"/>
          <w:bCs/>
          <w:i/>
          <w:iCs/>
        </w:rPr>
        <w:t>Coordination of this Policy with the Corporation’s Code of Business Conduct</w:t>
      </w:r>
      <w:r>
        <w:rPr>
          <w:rFonts w:ascii="Times New Roman" w:eastAsia="Times New Roman" w:hAnsi="Times New Roman" w:cs="Times New Roman"/>
          <w:bCs/>
          <w:i/>
          <w:iCs/>
        </w:rPr>
        <w:t xml:space="preserve"> and Ethics</w:t>
      </w:r>
      <w:r w:rsidRPr="00D60B9D">
        <w:rPr>
          <w:rFonts w:ascii="Times New Roman" w:eastAsia="Times New Roman" w:hAnsi="Times New Roman" w:cs="Times New Roman"/>
          <w:bCs/>
          <w:i/>
          <w:iCs/>
        </w:rPr>
        <w:t xml:space="preserve"> </w:t>
      </w:r>
    </w:p>
    <w:p w14:paraId="0089D0BF" w14:textId="318AC47A" w:rsidR="00600002" w:rsidRDefault="00AB02BE" w:rsidP="00425736">
      <w:pPr>
        <w:spacing w:after="240"/>
        <w:ind w:firstLine="720"/>
        <w:jc w:val="both"/>
        <w:rPr>
          <w:rFonts w:ascii="Times New Roman" w:eastAsia="Times New Roman" w:hAnsi="Times New Roman" w:cs="Times New Roman"/>
        </w:rPr>
      </w:pPr>
      <w:r w:rsidRPr="001A6BD1">
        <w:rPr>
          <w:rFonts w:ascii="Times New Roman" w:eastAsia="Times New Roman" w:hAnsi="Times New Roman" w:cs="Times New Roman"/>
        </w:rPr>
        <w:t>This Policy</w:t>
      </w:r>
      <w:r>
        <w:rPr>
          <w:rFonts w:ascii="Times New Roman" w:eastAsia="Times New Roman" w:hAnsi="Times New Roman" w:cs="Times New Roman"/>
        </w:rPr>
        <w:t xml:space="preserve"> </w:t>
      </w:r>
      <w:r w:rsidRPr="001A6BD1">
        <w:rPr>
          <w:rFonts w:ascii="Times New Roman" w:eastAsia="Times New Roman" w:hAnsi="Times New Roman" w:cs="Times New Roman"/>
        </w:rPr>
        <w:t xml:space="preserve">applies </w:t>
      </w:r>
      <w:r>
        <w:rPr>
          <w:rFonts w:ascii="Times New Roman" w:eastAsia="Times New Roman" w:hAnsi="Times New Roman" w:cs="Times New Roman"/>
        </w:rPr>
        <w:t xml:space="preserve">only </w:t>
      </w:r>
      <w:r w:rsidRPr="001A6BD1">
        <w:rPr>
          <w:rFonts w:ascii="Times New Roman" w:eastAsia="Times New Roman" w:hAnsi="Times New Roman" w:cs="Times New Roman"/>
        </w:rPr>
        <w:t xml:space="preserve">to Interested Transactions required to be approved under this Policy. Transactions with Related Parties not required to be approved under this Policy </w:t>
      </w:r>
      <w:r>
        <w:rPr>
          <w:rFonts w:ascii="Times New Roman" w:eastAsia="Times New Roman" w:hAnsi="Times New Roman" w:cs="Times New Roman"/>
        </w:rPr>
        <w:t>are</w:t>
      </w:r>
      <w:r w:rsidRPr="001A6BD1">
        <w:rPr>
          <w:rFonts w:ascii="Times New Roman" w:eastAsia="Times New Roman" w:hAnsi="Times New Roman" w:cs="Times New Roman"/>
        </w:rPr>
        <w:t xml:space="preserve"> subject to the Corporation’s Code of </w:t>
      </w:r>
      <w:r>
        <w:rPr>
          <w:rFonts w:ascii="Times New Roman" w:eastAsia="Times New Roman" w:hAnsi="Times New Roman" w:cs="Times New Roman"/>
        </w:rPr>
        <w:t xml:space="preserve">Business </w:t>
      </w:r>
      <w:r w:rsidRPr="001A6BD1">
        <w:rPr>
          <w:rFonts w:ascii="Times New Roman" w:eastAsia="Times New Roman" w:hAnsi="Times New Roman" w:cs="Times New Roman"/>
        </w:rPr>
        <w:t>Conduct</w:t>
      </w:r>
      <w:r>
        <w:rPr>
          <w:rFonts w:ascii="Times New Roman" w:eastAsia="Times New Roman" w:hAnsi="Times New Roman" w:cs="Times New Roman"/>
        </w:rPr>
        <w:t xml:space="preserve"> and Ethics</w:t>
      </w:r>
      <w:r w:rsidRPr="001A6BD1">
        <w:rPr>
          <w:rFonts w:ascii="Times New Roman" w:eastAsia="Times New Roman" w:hAnsi="Times New Roman" w:cs="Times New Roman"/>
        </w:rPr>
        <w:t>.</w:t>
      </w:r>
      <w:r w:rsidR="00095069">
        <w:rPr>
          <w:rFonts w:ascii="Times New Roman" w:eastAsia="Times New Roman" w:hAnsi="Times New Roman" w:cs="Times New Roman"/>
        </w:rPr>
        <w:t xml:space="preserve"> Notwithstanding the foregoing, Interested Transactions remain subject to the requirements of the Corporation’s Code of Business Conduct and Ethics to the extent of any such requirements not explicitly granted to the Nominating and Governance Committee under this Policy.</w:t>
      </w:r>
    </w:p>
    <w:p w14:paraId="771DFE93" w14:textId="77777777" w:rsidR="00600002" w:rsidRPr="005D5313" w:rsidRDefault="00AB02BE" w:rsidP="00C55A02">
      <w:pPr>
        <w:spacing w:after="240"/>
        <w:jc w:val="both"/>
        <w:rPr>
          <w:rFonts w:ascii="Times New Roman" w:eastAsia="Times New Roman" w:hAnsi="Times New Roman" w:cs="Times New Roman"/>
          <w:bCs/>
          <w:i/>
          <w:iCs/>
        </w:rPr>
      </w:pPr>
      <w:r>
        <w:rPr>
          <w:rFonts w:ascii="Times New Roman" w:eastAsia="Times New Roman" w:hAnsi="Times New Roman" w:cs="Times New Roman"/>
          <w:bCs/>
          <w:i/>
          <w:iCs/>
        </w:rPr>
        <w:t>Disclosure</w:t>
      </w:r>
      <w:r w:rsidRPr="005D5313">
        <w:rPr>
          <w:rFonts w:ascii="Times New Roman" w:eastAsia="Times New Roman" w:hAnsi="Times New Roman" w:cs="Times New Roman"/>
          <w:bCs/>
          <w:i/>
          <w:iCs/>
        </w:rPr>
        <w:t xml:space="preserve"> </w:t>
      </w:r>
    </w:p>
    <w:p w14:paraId="5605B01F" w14:textId="33A0418E" w:rsidR="00600002" w:rsidRDefault="00AB02BE" w:rsidP="00C55A02">
      <w:pPr>
        <w:autoSpaceDE w:val="0"/>
        <w:autoSpaceDN w:val="0"/>
        <w:adjustRightInd w:val="0"/>
        <w:spacing w:after="240"/>
        <w:jc w:val="both"/>
        <w:rPr>
          <w:rFonts w:ascii="Times New Roman" w:eastAsia="Times New Roman" w:hAnsi="Times New Roman" w:cs="Times New Roman"/>
        </w:rPr>
      </w:pPr>
      <w:r>
        <w:rPr>
          <w:rFonts w:ascii="Times New Roman" w:eastAsia="Times New Roman" w:hAnsi="Times New Roman" w:cs="Times New Roman"/>
        </w:rPr>
        <w:tab/>
      </w:r>
      <w:r w:rsidRPr="00D60B9D">
        <w:rPr>
          <w:rFonts w:ascii="Times New Roman" w:eastAsia="Times New Roman" w:hAnsi="Times New Roman" w:cs="Times New Roman"/>
        </w:rPr>
        <w:t>All Interested Transactions that are required to be disclosed in the Corporation’</w:t>
      </w:r>
      <w:r>
        <w:rPr>
          <w:rFonts w:ascii="Times New Roman" w:eastAsia="Times New Roman" w:hAnsi="Times New Roman" w:cs="Times New Roman"/>
        </w:rPr>
        <w:t xml:space="preserve">s filings with the SEC, as </w:t>
      </w:r>
      <w:r w:rsidRPr="00D60B9D">
        <w:rPr>
          <w:rFonts w:ascii="Times New Roman" w:eastAsia="Times New Roman" w:hAnsi="Times New Roman" w:cs="Times New Roman"/>
        </w:rPr>
        <w:t>required by the Securities Act and the Secu</w:t>
      </w:r>
      <w:r>
        <w:rPr>
          <w:rFonts w:ascii="Times New Roman" w:eastAsia="Times New Roman" w:hAnsi="Times New Roman" w:cs="Times New Roman"/>
        </w:rPr>
        <w:t xml:space="preserve">rities Exchange Act of 1934, as </w:t>
      </w:r>
      <w:r w:rsidRPr="00D60B9D">
        <w:rPr>
          <w:rFonts w:ascii="Times New Roman" w:eastAsia="Times New Roman" w:hAnsi="Times New Roman" w:cs="Times New Roman"/>
        </w:rPr>
        <w:t xml:space="preserve">amended, and related rules and regulations, shall </w:t>
      </w:r>
      <w:proofErr w:type="gramStart"/>
      <w:r w:rsidRPr="00D60B9D">
        <w:rPr>
          <w:rFonts w:ascii="Times New Roman" w:eastAsia="Times New Roman" w:hAnsi="Times New Roman" w:cs="Times New Roman"/>
        </w:rPr>
        <w:t>be so</w:t>
      </w:r>
      <w:proofErr w:type="gramEnd"/>
      <w:r w:rsidRPr="00D60B9D">
        <w:rPr>
          <w:rFonts w:ascii="Times New Roman" w:eastAsia="Times New Roman" w:hAnsi="Times New Roman" w:cs="Times New Roman"/>
        </w:rPr>
        <w:t xml:space="preserve"> disclosed in a</w:t>
      </w:r>
      <w:r>
        <w:rPr>
          <w:rFonts w:ascii="Times New Roman" w:eastAsia="Times New Roman" w:hAnsi="Times New Roman" w:cs="Times New Roman"/>
        </w:rPr>
        <w:t xml:space="preserve">ccordance with such laws, rules </w:t>
      </w:r>
      <w:r w:rsidRPr="00D60B9D">
        <w:rPr>
          <w:rFonts w:ascii="Times New Roman" w:eastAsia="Times New Roman" w:hAnsi="Times New Roman" w:cs="Times New Roman"/>
        </w:rPr>
        <w:t>and regulations.</w:t>
      </w:r>
    </w:p>
    <w:p w14:paraId="05F852AF" w14:textId="03CCACA5" w:rsidR="007B00AF" w:rsidRPr="00D60B9D" w:rsidRDefault="00AB02BE" w:rsidP="00744BD0">
      <w:pPr>
        <w:autoSpaceDE w:val="0"/>
        <w:autoSpaceDN w:val="0"/>
        <w:adjustRightInd w:val="0"/>
        <w:spacing w:after="240"/>
        <w:jc w:val="both"/>
        <w:rPr>
          <w:rFonts w:ascii="Times New Roman" w:eastAsia="Times New Roman" w:hAnsi="Times New Roman" w:cs="Times New Roman"/>
        </w:rPr>
      </w:pPr>
      <w:r>
        <w:rPr>
          <w:rFonts w:ascii="Times New Roman" w:eastAsia="Times New Roman" w:hAnsi="Times New Roman" w:cs="Times New Roman"/>
        </w:rPr>
        <w:tab/>
      </w:r>
      <w:r w:rsidRPr="00D60B9D">
        <w:rPr>
          <w:rFonts w:ascii="Times New Roman" w:eastAsia="Times New Roman" w:hAnsi="Times New Roman" w:cs="Times New Roman"/>
        </w:rPr>
        <w:t>The material features of this Policy shall be disclosed in the Corporation’</w:t>
      </w:r>
      <w:r>
        <w:rPr>
          <w:rFonts w:ascii="Times New Roman" w:eastAsia="Times New Roman" w:hAnsi="Times New Roman" w:cs="Times New Roman"/>
        </w:rPr>
        <w:t xml:space="preserve">s Annual Report on Form 10-K </w:t>
      </w:r>
      <w:r w:rsidRPr="00D60B9D">
        <w:rPr>
          <w:rFonts w:ascii="Times New Roman" w:eastAsia="Times New Roman" w:hAnsi="Times New Roman" w:cs="Times New Roman"/>
        </w:rPr>
        <w:t>or in the Corporation’s proxy statement, as required by applicable laws, rules and regulations.</w:t>
      </w:r>
    </w:p>
    <w:sectPr w:rsidR="007B00AF" w:rsidRPr="00D60B9D" w:rsidSect="001835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D0FC" w14:textId="77777777" w:rsidR="0034497A" w:rsidRDefault="0034497A">
      <w:r>
        <w:separator/>
      </w:r>
    </w:p>
  </w:endnote>
  <w:endnote w:type="continuationSeparator" w:id="0">
    <w:p w14:paraId="538F71A2" w14:textId="77777777" w:rsidR="0034497A" w:rsidRDefault="0034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17C7" w14:textId="77777777" w:rsidR="00600002" w:rsidRDefault="00600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466171"/>
      <w:docPartObj>
        <w:docPartGallery w:val="Page Numbers (Bottom of Page)"/>
        <w:docPartUnique/>
      </w:docPartObj>
    </w:sdtPr>
    <w:sdtEndPr>
      <w:rPr>
        <w:rFonts w:ascii="Times New Roman" w:hAnsi="Times New Roman" w:cs="Times New Roman"/>
        <w:noProof/>
        <w:sz w:val="22"/>
        <w:szCs w:val="22"/>
      </w:rPr>
    </w:sdtEndPr>
    <w:sdtContent>
      <w:p w14:paraId="36A9EE4D" w14:textId="77777777" w:rsidR="00600002" w:rsidRPr="00D60B9D" w:rsidRDefault="00AB02BE">
        <w:pPr>
          <w:pStyle w:val="Footer"/>
          <w:jc w:val="center"/>
          <w:rPr>
            <w:rFonts w:ascii="Times New Roman" w:hAnsi="Times New Roman" w:cs="Times New Roman"/>
            <w:sz w:val="22"/>
            <w:szCs w:val="22"/>
          </w:rPr>
        </w:pPr>
        <w:r w:rsidRPr="00D60B9D">
          <w:rPr>
            <w:rFonts w:ascii="Times New Roman" w:hAnsi="Times New Roman" w:cs="Times New Roman"/>
            <w:sz w:val="22"/>
            <w:szCs w:val="22"/>
          </w:rPr>
          <w:fldChar w:fldCharType="begin"/>
        </w:r>
        <w:r w:rsidRPr="00D60B9D">
          <w:rPr>
            <w:rFonts w:ascii="Times New Roman" w:hAnsi="Times New Roman" w:cs="Times New Roman"/>
            <w:sz w:val="22"/>
            <w:szCs w:val="22"/>
          </w:rPr>
          <w:instrText xml:space="preserve"> PAGE   \* MERGEFORMAT </w:instrText>
        </w:r>
        <w:r w:rsidRPr="00D60B9D">
          <w:rPr>
            <w:rFonts w:ascii="Times New Roman" w:hAnsi="Times New Roman" w:cs="Times New Roman"/>
            <w:sz w:val="22"/>
            <w:szCs w:val="22"/>
          </w:rPr>
          <w:fldChar w:fldCharType="separate"/>
        </w:r>
        <w:r>
          <w:rPr>
            <w:rFonts w:ascii="Times New Roman" w:hAnsi="Times New Roman" w:cs="Times New Roman"/>
            <w:noProof/>
            <w:sz w:val="22"/>
            <w:szCs w:val="22"/>
          </w:rPr>
          <w:t>5</w:t>
        </w:r>
        <w:r w:rsidRPr="00D60B9D">
          <w:rPr>
            <w:rFonts w:ascii="Times New Roman" w:hAnsi="Times New Roman" w:cs="Times New Roman"/>
            <w:noProof/>
            <w:sz w:val="22"/>
            <w:szCs w:val="22"/>
          </w:rPr>
          <w:fldChar w:fldCharType="end"/>
        </w:r>
      </w:p>
    </w:sdtContent>
  </w:sdt>
  <w:p w14:paraId="3027C2E3" w14:textId="77777777" w:rsidR="00600002" w:rsidRDefault="00600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6E10" w14:textId="77777777" w:rsidR="00600002" w:rsidRDefault="00600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EEBF" w14:textId="77777777" w:rsidR="0034497A" w:rsidRDefault="0034497A">
      <w:r>
        <w:separator/>
      </w:r>
    </w:p>
  </w:footnote>
  <w:footnote w:type="continuationSeparator" w:id="0">
    <w:p w14:paraId="3492C166" w14:textId="77777777" w:rsidR="0034497A" w:rsidRDefault="0034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D9E9" w14:textId="77777777" w:rsidR="00600002" w:rsidRDefault="00600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FDCB" w14:textId="77777777" w:rsidR="00600002" w:rsidRDefault="00600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8EA4" w14:textId="77777777" w:rsidR="00600002" w:rsidRDefault="00AB02BE">
    <w:pPr>
      <w:pStyle w:val="Header"/>
    </w:pPr>
    <w:r>
      <w:rPr>
        <w:noProof/>
      </w:rPr>
      <mc:AlternateContent>
        <mc:Choice Requires="wps">
          <w:drawing>
            <wp:anchor distT="45720" distB="45720" distL="114300" distR="114300" simplePos="0" relativeHeight="251658240" behindDoc="0" locked="1" layoutInCell="1" allowOverlap="1" wp14:anchorId="114B7806" wp14:editId="174849A3">
              <wp:simplePos x="0" y="0"/>
              <wp:positionH relativeFrom="page">
                <wp:posOffset>3435350</wp:posOffset>
              </wp:positionH>
              <wp:positionV relativeFrom="page">
                <wp:posOffset>186690</wp:posOffset>
              </wp:positionV>
              <wp:extent cx="4114800" cy="40513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05130"/>
                      </a:xfrm>
                      <a:prstGeom prst="rect">
                        <a:avLst/>
                      </a:prstGeom>
                      <a:noFill/>
                      <a:ln w="9525">
                        <a:noFill/>
                        <a:miter lim="800000"/>
                        <a:headEnd/>
                        <a:tailEnd/>
                      </a:ln>
                    </wps:spPr>
                    <wps:txbx>
                      <w:txbxContent>
                        <w:p w14:paraId="4B3DA252" w14:textId="77777777" w:rsidR="00600002" w:rsidRPr="001835CE" w:rsidRDefault="00600002" w:rsidP="001835CE">
                          <w:pPr>
                            <w:pStyle w:val="DraftText"/>
                          </w:pPr>
                        </w:p>
                      </w:txbxContent>
                    </wps:txbx>
                    <wps:bodyPr rot="0" vert="horz" wrap="square" lIns="0" tIns="0" rIns="91440" bIns="45720" anchor="t" anchorCtr="0">
                      <a:spAutoFit/>
                    </wps:bodyPr>
                  </wps:wsp>
                </a:graphicData>
              </a:graphic>
            </wp:anchor>
          </w:drawing>
        </mc:Choice>
        <mc:Fallback>
          <w:pict>
            <v:shapetype w14:anchorId="114B7806" id="_x0000_t202" coordsize="21600,21600" o:spt="202" path="m,l,21600r21600,l21600,xe">
              <v:stroke joinstyle="miter"/>
              <v:path gradientshapeok="t" o:connecttype="rect"/>
            </v:shapetype>
            <v:shape id="Text Box 2" o:spid="_x0000_s1026" type="#_x0000_t202" style="position:absolute;margin-left:270.5pt;margin-top:14.7pt;width:324pt;height:31.9pt;z-index:251658240;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" filled="f" stroked="f">
              <v:textbox style="mso-fit-shape-to-text:t" inset="0,0">
                <w:txbxContent>
                  <w:p w14:paraId="4B3DA252" w14:textId="77777777" w:rsidR="00600002" w:rsidRPr="001835CE" w:rsidRDefault="00600002" w:rsidP="001835CE">
                    <w:pPr>
                      <w:pStyle w:val="DraftText"/>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37FC"/>
    <w:multiLevelType w:val="hybridMultilevel"/>
    <w:tmpl w:val="07247504"/>
    <w:lvl w:ilvl="0" w:tplc="A99AF3FE">
      <w:start w:val="1"/>
      <w:numFmt w:val="bullet"/>
      <w:lvlText w:val=""/>
      <w:lvlJc w:val="left"/>
      <w:pPr>
        <w:ind w:left="720" w:hanging="360"/>
      </w:pPr>
      <w:rPr>
        <w:rFonts w:ascii="Symbol" w:hAnsi="Symbol" w:hint="default"/>
      </w:rPr>
    </w:lvl>
    <w:lvl w:ilvl="1" w:tplc="2104FD1A" w:tentative="1">
      <w:start w:val="1"/>
      <w:numFmt w:val="bullet"/>
      <w:lvlText w:val="o"/>
      <w:lvlJc w:val="left"/>
      <w:pPr>
        <w:ind w:left="1440" w:hanging="360"/>
      </w:pPr>
      <w:rPr>
        <w:rFonts w:ascii="Courier New" w:hAnsi="Courier New" w:cs="Courier New" w:hint="default"/>
      </w:rPr>
    </w:lvl>
    <w:lvl w:ilvl="2" w:tplc="7A66013E" w:tentative="1">
      <w:start w:val="1"/>
      <w:numFmt w:val="bullet"/>
      <w:lvlText w:val=""/>
      <w:lvlJc w:val="left"/>
      <w:pPr>
        <w:ind w:left="2160" w:hanging="360"/>
      </w:pPr>
      <w:rPr>
        <w:rFonts w:ascii="Wingdings" w:hAnsi="Wingdings" w:hint="default"/>
      </w:rPr>
    </w:lvl>
    <w:lvl w:ilvl="3" w:tplc="05503B50" w:tentative="1">
      <w:start w:val="1"/>
      <w:numFmt w:val="bullet"/>
      <w:lvlText w:val=""/>
      <w:lvlJc w:val="left"/>
      <w:pPr>
        <w:ind w:left="2880" w:hanging="360"/>
      </w:pPr>
      <w:rPr>
        <w:rFonts w:ascii="Symbol" w:hAnsi="Symbol" w:hint="default"/>
      </w:rPr>
    </w:lvl>
    <w:lvl w:ilvl="4" w:tplc="C3FE849E" w:tentative="1">
      <w:start w:val="1"/>
      <w:numFmt w:val="bullet"/>
      <w:lvlText w:val="o"/>
      <w:lvlJc w:val="left"/>
      <w:pPr>
        <w:ind w:left="3600" w:hanging="360"/>
      </w:pPr>
      <w:rPr>
        <w:rFonts w:ascii="Courier New" w:hAnsi="Courier New" w:cs="Courier New" w:hint="default"/>
      </w:rPr>
    </w:lvl>
    <w:lvl w:ilvl="5" w:tplc="170A3E34" w:tentative="1">
      <w:start w:val="1"/>
      <w:numFmt w:val="bullet"/>
      <w:lvlText w:val=""/>
      <w:lvlJc w:val="left"/>
      <w:pPr>
        <w:ind w:left="4320" w:hanging="360"/>
      </w:pPr>
      <w:rPr>
        <w:rFonts w:ascii="Wingdings" w:hAnsi="Wingdings" w:hint="default"/>
      </w:rPr>
    </w:lvl>
    <w:lvl w:ilvl="6" w:tplc="CF7C7FBE" w:tentative="1">
      <w:start w:val="1"/>
      <w:numFmt w:val="bullet"/>
      <w:lvlText w:val=""/>
      <w:lvlJc w:val="left"/>
      <w:pPr>
        <w:ind w:left="5040" w:hanging="360"/>
      </w:pPr>
      <w:rPr>
        <w:rFonts w:ascii="Symbol" w:hAnsi="Symbol" w:hint="default"/>
      </w:rPr>
    </w:lvl>
    <w:lvl w:ilvl="7" w:tplc="106C40EE" w:tentative="1">
      <w:start w:val="1"/>
      <w:numFmt w:val="bullet"/>
      <w:lvlText w:val="o"/>
      <w:lvlJc w:val="left"/>
      <w:pPr>
        <w:ind w:left="5760" w:hanging="360"/>
      </w:pPr>
      <w:rPr>
        <w:rFonts w:ascii="Courier New" w:hAnsi="Courier New" w:cs="Courier New" w:hint="default"/>
      </w:rPr>
    </w:lvl>
    <w:lvl w:ilvl="8" w:tplc="51B0336C" w:tentative="1">
      <w:start w:val="1"/>
      <w:numFmt w:val="bullet"/>
      <w:lvlText w:val=""/>
      <w:lvlJc w:val="left"/>
      <w:pPr>
        <w:ind w:left="6480" w:hanging="360"/>
      </w:pPr>
      <w:rPr>
        <w:rFonts w:ascii="Wingdings" w:hAnsi="Wingdings" w:hint="default"/>
      </w:rPr>
    </w:lvl>
  </w:abstractNum>
  <w:abstractNum w:abstractNumId="1" w15:restartNumberingAfterBreak="0">
    <w:nsid w:val="2256029A"/>
    <w:multiLevelType w:val="hybridMultilevel"/>
    <w:tmpl w:val="10224B4E"/>
    <w:lvl w:ilvl="0" w:tplc="1A768AE0">
      <w:start w:val="1"/>
      <w:numFmt w:val="bullet"/>
      <w:lvlText w:val=""/>
      <w:lvlJc w:val="left"/>
      <w:pPr>
        <w:ind w:left="720" w:hanging="360"/>
      </w:pPr>
      <w:rPr>
        <w:rFonts w:ascii="Symbol" w:hAnsi="Symbol" w:hint="default"/>
      </w:rPr>
    </w:lvl>
    <w:lvl w:ilvl="1" w:tplc="3D1A6882">
      <w:start w:val="1"/>
      <w:numFmt w:val="bullet"/>
      <w:lvlText w:val="o"/>
      <w:lvlJc w:val="left"/>
      <w:pPr>
        <w:ind w:left="1440" w:hanging="360"/>
      </w:pPr>
      <w:rPr>
        <w:rFonts w:ascii="Courier New" w:hAnsi="Courier New" w:cs="Courier New" w:hint="default"/>
      </w:rPr>
    </w:lvl>
    <w:lvl w:ilvl="2" w:tplc="A9465434" w:tentative="1">
      <w:start w:val="1"/>
      <w:numFmt w:val="bullet"/>
      <w:lvlText w:val=""/>
      <w:lvlJc w:val="left"/>
      <w:pPr>
        <w:ind w:left="2160" w:hanging="360"/>
      </w:pPr>
      <w:rPr>
        <w:rFonts w:ascii="Wingdings" w:hAnsi="Wingdings" w:hint="default"/>
      </w:rPr>
    </w:lvl>
    <w:lvl w:ilvl="3" w:tplc="A872BFEA" w:tentative="1">
      <w:start w:val="1"/>
      <w:numFmt w:val="bullet"/>
      <w:lvlText w:val=""/>
      <w:lvlJc w:val="left"/>
      <w:pPr>
        <w:ind w:left="2880" w:hanging="360"/>
      </w:pPr>
      <w:rPr>
        <w:rFonts w:ascii="Symbol" w:hAnsi="Symbol" w:hint="default"/>
      </w:rPr>
    </w:lvl>
    <w:lvl w:ilvl="4" w:tplc="F57C2AAE" w:tentative="1">
      <w:start w:val="1"/>
      <w:numFmt w:val="bullet"/>
      <w:lvlText w:val="o"/>
      <w:lvlJc w:val="left"/>
      <w:pPr>
        <w:ind w:left="3600" w:hanging="360"/>
      </w:pPr>
      <w:rPr>
        <w:rFonts w:ascii="Courier New" w:hAnsi="Courier New" w:cs="Courier New" w:hint="default"/>
      </w:rPr>
    </w:lvl>
    <w:lvl w:ilvl="5" w:tplc="9B4E7F16" w:tentative="1">
      <w:start w:val="1"/>
      <w:numFmt w:val="bullet"/>
      <w:lvlText w:val=""/>
      <w:lvlJc w:val="left"/>
      <w:pPr>
        <w:ind w:left="4320" w:hanging="360"/>
      </w:pPr>
      <w:rPr>
        <w:rFonts w:ascii="Wingdings" w:hAnsi="Wingdings" w:hint="default"/>
      </w:rPr>
    </w:lvl>
    <w:lvl w:ilvl="6" w:tplc="D2A21418" w:tentative="1">
      <w:start w:val="1"/>
      <w:numFmt w:val="bullet"/>
      <w:lvlText w:val=""/>
      <w:lvlJc w:val="left"/>
      <w:pPr>
        <w:ind w:left="5040" w:hanging="360"/>
      </w:pPr>
      <w:rPr>
        <w:rFonts w:ascii="Symbol" w:hAnsi="Symbol" w:hint="default"/>
      </w:rPr>
    </w:lvl>
    <w:lvl w:ilvl="7" w:tplc="3D14761A" w:tentative="1">
      <w:start w:val="1"/>
      <w:numFmt w:val="bullet"/>
      <w:lvlText w:val="o"/>
      <w:lvlJc w:val="left"/>
      <w:pPr>
        <w:ind w:left="5760" w:hanging="360"/>
      </w:pPr>
      <w:rPr>
        <w:rFonts w:ascii="Courier New" w:hAnsi="Courier New" w:cs="Courier New" w:hint="default"/>
      </w:rPr>
    </w:lvl>
    <w:lvl w:ilvl="8" w:tplc="66809620" w:tentative="1">
      <w:start w:val="1"/>
      <w:numFmt w:val="bullet"/>
      <w:lvlText w:val=""/>
      <w:lvlJc w:val="left"/>
      <w:pPr>
        <w:ind w:left="6480" w:hanging="360"/>
      </w:pPr>
      <w:rPr>
        <w:rFonts w:ascii="Wingdings" w:hAnsi="Wingdings" w:hint="default"/>
      </w:rPr>
    </w:lvl>
  </w:abstractNum>
  <w:abstractNum w:abstractNumId="2" w15:restartNumberingAfterBreak="0">
    <w:nsid w:val="535D5DCC"/>
    <w:multiLevelType w:val="hybridMultilevel"/>
    <w:tmpl w:val="32B48D86"/>
    <w:lvl w:ilvl="0" w:tplc="D9FE9082">
      <w:start w:val="1"/>
      <w:numFmt w:val="decimal"/>
      <w:lvlText w:val="%1."/>
      <w:lvlJc w:val="left"/>
      <w:pPr>
        <w:ind w:left="720" w:hanging="360"/>
      </w:pPr>
      <w:rPr>
        <w:rFonts w:hint="default"/>
      </w:rPr>
    </w:lvl>
    <w:lvl w:ilvl="1" w:tplc="380A66B6">
      <w:start w:val="1"/>
      <w:numFmt w:val="bullet"/>
      <w:lvlText w:val="o"/>
      <w:lvlJc w:val="left"/>
      <w:pPr>
        <w:ind w:left="1440" w:hanging="360"/>
      </w:pPr>
      <w:rPr>
        <w:rFonts w:ascii="Courier New" w:hAnsi="Courier New" w:cs="Courier New" w:hint="default"/>
      </w:rPr>
    </w:lvl>
    <w:lvl w:ilvl="2" w:tplc="D4520716" w:tentative="1">
      <w:start w:val="1"/>
      <w:numFmt w:val="bullet"/>
      <w:lvlText w:val=""/>
      <w:lvlJc w:val="left"/>
      <w:pPr>
        <w:ind w:left="2160" w:hanging="360"/>
      </w:pPr>
      <w:rPr>
        <w:rFonts w:ascii="Wingdings" w:hAnsi="Wingdings" w:hint="default"/>
      </w:rPr>
    </w:lvl>
    <w:lvl w:ilvl="3" w:tplc="4DFE5D2E" w:tentative="1">
      <w:start w:val="1"/>
      <w:numFmt w:val="bullet"/>
      <w:lvlText w:val=""/>
      <w:lvlJc w:val="left"/>
      <w:pPr>
        <w:ind w:left="2880" w:hanging="360"/>
      </w:pPr>
      <w:rPr>
        <w:rFonts w:ascii="Symbol" w:hAnsi="Symbol" w:hint="default"/>
      </w:rPr>
    </w:lvl>
    <w:lvl w:ilvl="4" w:tplc="3824267A" w:tentative="1">
      <w:start w:val="1"/>
      <w:numFmt w:val="bullet"/>
      <w:lvlText w:val="o"/>
      <w:lvlJc w:val="left"/>
      <w:pPr>
        <w:ind w:left="3600" w:hanging="360"/>
      </w:pPr>
      <w:rPr>
        <w:rFonts w:ascii="Courier New" w:hAnsi="Courier New" w:cs="Courier New" w:hint="default"/>
      </w:rPr>
    </w:lvl>
    <w:lvl w:ilvl="5" w:tplc="8AFA0444" w:tentative="1">
      <w:start w:val="1"/>
      <w:numFmt w:val="bullet"/>
      <w:lvlText w:val=""/>
      <w:lvlJc w:val="left"/>
      <w:pPr>
        <w:ind w:left="4320" w:hanging="360"/>
      </w:pPr>
      <w:rPr>
        <w:rFonts w:ascii="Wingdings" w:hAnsi="Wingdings" w:hint="default"/>
      </w:rPr>
    </w:lvl>
    <w:lvl w:ilvl="6" w:tplc="1D6CF952" w:tentative="1">
      <w:start w:val="1"/>
      <w:numFmt w:val="bullet"/>
      <w:lvlText w:val=""/>
      <w:lvlJc w:val="left"/>
      <w:pPr>
        <w:ind w:left="5040" w:hanging="360"/>
      </w:pPr>
      <w:rPr>
        <w:rFonts w:ascii="Symbol" w:hAnsi="Symbol" w:hint="default"/>
      </w:rPr>
    </w:lvl>
    <w:lvl w:ilvl="7" w:tplc="45B8276E" w:tentative="1">
      <w:start w:val="1"/>
      <w:numFmt w:val="bullet"/>
      <w:lvlText w:val="o"/>
      <w:lvlJc w:val="left"/>
      <w:pPr>
        <w:ind w:left="5760" w:hanging="360"/>
      </w:pPr>
      <w:rPr>
        <w:rFonts w:ascii="Courier New" w:hAnsi="Courier New" w:cs="Courier New" w:hint="default"/>
      </w:rPr>
    </w:lvl>
    <w:lvl w:ilvl="8" w:tplc="F7BEBDD2" w:tentative="1">
      <w:start w:val="1"/>
      <w:numFmt w:val="bullet"/>
      <w:lvlText w:val=""/>
      <w:lvlJc w:val="left"/>
      <w:pPr>
        <w:ind w:left="6480" w:hanging="360"/>
      </w:pPr>
      <w:rPr>
        <w:rFonts w:ascii="Wingdings" w:hAnsi="Wingdings" w:hint="default"/>
      </w:rPr>
    </w:lvl>
  </w:abstractNum>
  <w:num w:numId="1" w16cid:durableId="1275283698">
    <w:abstractNumId w:val="1"/>
  </w:num>
  <w:num w:numId="2" w16cid:durableId="1725136566">
    <w:abstractNumId w:val="2"/>
  </w:num>
  <w:num w:numId="3" w16cid:durableId="155156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7"/>
    <w:rsid w:val="000203A2"/>
    <w:rsid w:val="00081D47"/>
    <w:rsid w:val="000831C2"/>
    <w:rsid w:val="00092E65"/>
    <w:rsid w:val="00095069"/>
    <w:rsid w:val="001F351A"/>
    <w:rsid w:val="00280E4D"/>
    <w:rsid w:val="002D37B8"/>
    <w:rsid w:val="002F794E"/>
    <w:rsid w:val="00312F31"/>
    <w:rsid w:val="00325018"/>
    <w:rsid w:val="003251AD"/>
    <w:rsid w:val="00327245"/>
    <w:rsid w:val="0034497A"/>
    <w:rsid w:val="003B6257"/>
    <w:rsid w:val="00425736"/>
    <w:rsid w:val="00534513"/>
    <w:rsid w:val="005410CD"/>
    <w:rsid w:val="00541EEB"/>
    <w:rsid w:val="005C40C9"/>
    <w:rsid w:val="00600002"/>
    <w:rsid w:val="006327E7"/>
    <w:rsid w:val="00660B7B"/>
    <w:rsid w:val="0066144C"/>
    <w:rsid w:val="00723B68"/>
    <w:rsid w:val="00723C77"/>
    <w:rsid w:val="00744BD0"/>
    <w:rsid w:val="00757CCD"/>
    <w:rsid w:val="007B00AF"/>
    <w:rsid w:val="007C37E1"/>
    <w:rsid w:val="007F6442"/>
    <w:rsid w:val="00892170"/>
    <w:rsid w:val="008B74A6"/>
    <w:rsid w:val="008B7697"/>
    <w:rsid w:val="008D6D7D"/>
    <w:rsid w:val="00AB02BE"/>
    <w:rsid w:val="00AE7344"/>
    <w:rsid w:val="00B14562"/>
    <w:rsid w:val="00BA369C"/>
    <w:rsid w:val="00BA6173"/>
    <w:rsid w:val="00BA719D"/>
    <w:rsid w:val="00BF3E54"/>
    <w:rsid w:val="00C111FF"/>
    <w:rsid w:val="00C55A02"/>
    <w:rsid w:val="00CB0A8D"/>
    <w:rsid w:val="00D21620"/>
    <w:rsid w:val="00D3156D"/>
    <w:rsid w:val="00DE2387"/>
    <w:rsid w:val="00DE356C"/>
    <w:rsid w:val="00E6139D"/>
    <w:rsid w:val="00E83857"/>
    <w:rsid w:val="00E969D7"/>
    <w:rsid w:val="00F24516"/>
    <w:rsid w:val="00FB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EF99"/>
  <w15:docId w15:val="{7809FD5A-74E0-48DB-990D-D3C90391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7E9"/>
    <w:pPr>
      <w:tabs>
        <w:tab w:val="center" w:pos="4680"/>
        <w:tab w:val="right" w:pos="9360"/>
      </w:tabs>
    </w:pPr>
  </w:style>
  <w:style w:type="character" w:customStyle="1" w:styleId="HeaderChar">
    <w:name w:val="Header Char"/>
    <w:basedOn w:val="DefaultParagraphFont"/>
    <w:link w:val="Header"/>
    <w:uiPriority w:val="99"/>
    <w:rsid w:val="00FA07E9"/>
  </w:style>
  <w:style w:type="paragraph" w:styleId="Footer">
    <w:name w:val="footer"/>
    <w:basedOn w:val="Normal"/>
    <w:link w:val="FooterChar"/>
    <w:uiPriority w:val="99"/>
    <w:unhideWhenUsed/>
    <w:rsid w:val="00FA07E9"/>
    <w:pPr>
      <w:tabs>
        <w:tab w:val="center" w:pos="4680"/>
        <w:tab w:val="right" w:pos="9360"/>
      </w:tabs>
    </w:pPr>
  </w:style>
  <w:style w:type="character" w:customStyle="1" w:styleId="FooterChar">
    <w:name w:val="Footer Char"/>
    <w:basedOn w:val="DefaultParagraphFont"/>
    <w:link w:val="Footer"/>
    <w:uiPriority w:val="99"/>
    <w:rsid w:val="00FA07E9"/>
  </w:style>
  <w:style w:type="paragraph" w:customStyle="1" w:styleId="DocID">
    <w:name w:val="DocID"/>
    <w:basedOn w:val="Normal"/>
    <w:link w:val="DocIDChar"/>
    <w:rsid w:val="004C7E41"/>
    <w:pPr>
      <w:jc w:val="right"/>
    </w:pPr>
    <w:rPr>
      <w:rFonts w:ascii="Arial" w:hAnsi="Arial"/>
      <w:sz w:val="16"/>
    </w:rPr>
  </w:style>
  <w:style w:type="character" w:customStyle="1" w:styleId="DocIDChar">
    <w:name w:val="DocID Char"/>
    <w:basedOn w:val="DefaultParagraphFont"/>
    <w:link w:val="DocID"/>
    <w:rsid w:val="00FA07E9"/>
    <w:rPr>
      <w:rFonts w:ascii="Arial" w:hAnsi="Arial"/>
      <w:sz w:val="16"/>
    </w:rPr>
  </w:style>
  <w:style w:type="paragraph" w:customStyle="1" w:styleId="CenteredTitle">
    <w:name w:val="Centered Title"/>
    <w:link w:val="CenteredTitleChar"/>
    <w:unhideWhenUsed/>
    <w:qFormat/>
    <w:rsid w:val="00E85FB0"/>
    <w:pPr>
      <w:jc w:val="center"/>
      <w:outlineLvl w:val="0"/>
    </w:pPr>
    <w:rPr>
      <w:rFonts w:ascii="Arial" w:eastAsia="Times New Roman" w:hAnsi="Arial" w:cs="Times New Roman"/>
      <w:b/>
      <w:color w:val="000000"/>
    </w:rPr>
  </w:style>
  <w:style w:type="character" w:customStyle="1" w:styleId="CenteredTitleChar">
    <w:name w:val="Centered Title Char"/>
    <w:basedOn w:val="DefaultParagraphFont"/>
    <w:link w:val="CenteredTitle"/>
    <w:rsid w:val="00E85FB0"/>
    <w:rPr>
      <w:rFonts w:ascii="Arial" w:eastAsia="Times New Roman" w:hAnsi="Arial" w:cs="Times New Roman"/>
      <w:b/>
      <w:color w:val="000000"/>
    </w:rPr>
  </w:style>
  <w:style w:type="paragraph" w:styleId="FootnoteText">
    <w:name w:val="footnote text"/>
    <w:basedOn w:val="Normal"/>
    <w:link w:val="FootnoteTextChar"/>
    <w:uiPriority w:val="99"/>
    <w:semiHidden/>
    <w:unhideWhenUsed/>
    <w:rsid w:val="0044725C"/>
    <w:rPr>
      <w:sz w:val="20"/>
      <w:szCs w:val="20"/>
    </w:rPr>
  </w:style>
  <w:style w:type="character" w:customStyle="1" w:styleId="FootnoteTextChar">
    <w:name w:val="Footnote Text Char"/>
    <w:basedOn w:val="DefaultParagraphFont"/>
    <w:link w:val="FootnoteText"/>
    <w:uiPriority w:val="99"/>
    <w:semiHidden/>
    <w:rsid w:val="0044725C"/>
    <w:rPr>
      <w:sz w:val="20"/>
      <w:szCs w:val="20"/>
    </w:rPr>
  </w:style>
  <w:style w:type="character" w:styleId="FootnoteReference">
    <w:name w:val="footnote reference"/>
    <w:basedOn w:val="DefaultParagraphFont"/>
    <w:uiPriority w:val="99"/>
    <w:semiHidden/>
    <w:unhideWhenUsed/>
    <w:rsid w:val="0044725C"/>
    <w:rPr>
      <w:vertAlign w:val="superscript"/>
    </w:rPr>
  </w:style>
  <w:style w:type="paragraph" w:styleId="ListParagraph">
    <w:name w:val="List Paragraph"/>
    <w:basedOn w:val="Normal"/>
    <w:uiPriority w:val="34"/>
    <w:qFormat/>
    <w:rsid w:val="00461C37"/>
    <w:pPr>
      <w:ind w:left="720"/>
      <w:contextualSpacing/>
    </w:pPr>
  </w:style>
  <w:style w:type="paragraph" w:customStyle="1" w:styleId="ConfidentialityPhrase">
    <w:name w:val="ConfidentialityPhrase"/>
    <w:basedOn w:val="Normal"/>
    <w:semiHidden/>
    <w:rsid w:val="001835CE"/>
    <w:pPr>
      <w:jc w:val="right"/>
    </w:pPr>
    <w:rPr>
      <w:rFonts w:ascii="Times New Roman" w:eastAsia="Times New Roman" w:hAnsi="Times New Roman" w:cs="Times New Roman"/>
      <w:bCs/>
      <w:caps/>
      <w:u w:val="single"/>
    </w:rPr>
  </w:style>
  <w:style w:type="paragraph" w:customStyle="1" w:styleId="DraftText">
    <w:name w:val="DraftText"/>
    <w:basedOn w:val="Normal"/>
    <w:uiPriority w:val="99"/>
    <w:semiHidden/>
    <w:rsid w:val="001835CE"/>
    <w:pPr>
      <w:jc w:val="right"/>
    </w:pPr>
    <w:rPr>
      <w:rFonts w:ascii="Times New Roman" w:hAnsi="Times New Roman"/>
    </w:rPr>
  </w:style>
  <w:style w:type="character" w:styleId="CommentReference">
    <w:name w:val="annotation reference"/>
    <w:basedOn w:val="DefaultParagraphFont"/>
    <w:uiPriority w:val="99"/>
    <w:semiHidden/>
    <w:unhideWhenUsed/>
    <w:rsid w:val="00A640CA"/>
    <w:rPr>
      <w:sz w:val="16"/>
      <w:szCs w:val="16"/>
    </w:rPr>
  </w:style>
  <w:style w:type="paragraph" w:styleId="CommentText">
    <w:name w:val="annotation text"/>
    <w:basedOn w:val="Normal"/>
    <w:link w:val="CommentTextChar"/>
    <w:uiPriority w:val="99"/>
    <w:semiHidden/>
    <w:unhideWhenUsed/>
    <w:rsid w:val="00A640CA"/>
    <w:rPr>
      <w:sz w:val="20"/>
      <w:szCs w:val="20"/>
    </w:rPr>
  </w:style>
  <w:style w:type="character" w:customStyle="1" w:styleId="CommentTextChar">
    <w:name w:val="Comment Text Char"/>
    <w:basedOn w:val="DefaultParagraphFont"/>
    <w:link w:val="CommentText"/>
    <w:uiPriority w:val="99"/>
    <w:semiHidden/>
    <w:rsid w:val="00A640CA"/>
    <w:rPr>
      <w:sz w:val="20"/>
      <w:szCs w:val="20"/>
    </w:rPr>
  </w:style>
  <w:style w:type="paragraph" w:styleId="CommentSubject">
    <w:name w:val="annotation subject"/>
    <w:basedOn w:val="CommentText"/>
    <w:next w:val="CommentText"/>
    <w:link w:val="CommentSubjectChar"/>
    <w:uiPriority w:val="99"/>
    <w:semiHidden/>
    <w:unhideWhenUsed/>
    <w:rsid w:val="00A640CA"/>
    <w:rPr>
      <w:b/>
      <w:bCs/>
    </w:rPr>
  </w:style>
  <w:style w:type="character" w:customStyle="1" w:styleId="CommentSubjectChar">
    <w:name w:val="Comment Subject Char"/>
    <w:basedOn w:val="CommentTextChar"/>
    <w:link w:val="CommentSubject"/>
    <w:uiPriority w:val="99"/>
    <w:semiHidden/>
    <w:rsid w:val="00A640CA"/>
    <w:rPr>
      <w:b/>
      <w:bCs/>
      <w:sz w:val="20"/>
      <w:szCs w:val="20"/>
    </w:rPr>
  </w:style>
  <w:style w:type="paragraph" w:styleId="BalloonText">
    <w:name w:val="Balloon Text"/>
    <w:basedOn w:val="Normal"/>
    <w:link w:val="BalloonTextChar"/>
    <w:uiPriority w:val="99"/>
    <w:semiHidden/>
    <w:unhideWhenUsed/>
    <w:rsid w:val="00A64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0CA"/>
    <w:rPr>
      <w:rFonts w:ascii="Segoe UI" w:hAnsi="Segoe UI" w:cs="Segoe UI"/>
      <w:sz w:val="18"/>
      <w:szCs w:val="18"/>
    </w:rPr>
  </w:style>
  <w:style w:type="paragraph" w:styleId="Revision">
    <w:name w:val="Revision"/>
    <w:hidden/>
    <w:uiPriority w:val="99"/>
    <w:semiHidden/>
    <w:rsid w:val="00534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00697">
      <w:bodyDiv w:val="1"/>
      <w:marLeft w:val="0"/>
      <w:marRight w:val="0"/>
      <w:marTop w:val="0"/>
      <w:marBottom w:val="0"/>
      <w:divBdr>
        <w:top w:val="none" w:sz="0" w:space="0" w:color="auto"/>
        <w:left w:val="none" w:sz="0" w:space="0" w:color="auto"/>
        <w:bottom w:val="none" w:sz="0" w:space="0" w:color="auto"/>
        <w:right w:val="none" w:sz="0" w:space="0" w:color="auto"/>
      </w:divBdr>
    </w:div>
    <w:div w:id="8353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79E47-E03F-4228-B006-26FEC84D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Thompson</dc:creator>
  <cp:lastModifiedBy>Deanna Smith</cp:lastModifiedBy>
  <cp:revision>7</cp:revision>
  <dcterms:created xsi:type="dcterms:W3CDTF">2025-07-09T12:24:00Z</dcterms:created>
  <dcterms:modified xsi:type="dcterms:W3CDTF">2025-07-27T03:07:00Z</dcterms:modified>
</cp:coreProperties>
</file>